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Chemist</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laboratory-analysis-report"/>
    <w:p>
      <w:pPr>
        <w:pStyle w:val="Heading1"/>
      </w:pPr>
      <w:r>
        <w:t xml:space="preserve">Laboratory Analysis Report</w:t>
      </w:r>
    </w:p>
    <w:p>
      <w:pPr>
        <w:pStyle w:val="FirstParagraph"/>
      </w:pPr>
      <w:r>
        <w:rPr>
          <w:bCs/>
          <w:b/>
        </w:rPr>
        <w:t xml:space="preserve">Date of Issue:</w:t>
      </w:r>
      <w:r>
        <w:t xml:space="preserve"> </w:t>
      </w:r>
      <w:r>
        <w:t xml:space="preserve">October 24, 2023</w:t>
      </w:r>
    </w:p>
    <w:p>
      <w:pPr>
        <w:pStyle w:val="BodyText"/>
      </w:pPr>
      <w:r>
        <w:rPr>
          <w:bCs/>
          <w:b/>
        </w:rPr>
        <w:t xml:space="preserve">Reference No:</w:t>
      </w:r>
      <w:r>
        <w:t xml:space="preserve"> </w:t>
      </w:r>
      <w:r>
        <w:t xml:space="preserve">UKL-CHM-8892-B</w:t>
      </w:r>
    </w:p>
    <w:bookmarkStart w:id="20" w:name="Xcd6f1140193f5e4b8b604f0e68f8c18dcf62014"/>
    <w:p>
      <w:pPr>
        <w:pStyle w:val="Heading3"/>
      </w:pPr>
      <w:r>
        <w:t xml:space="preserve">Signed off by: Dr. Alistair Thorne, Senior Chemist</w:t>
      </w:r>
    </w:p>
    <w:bookmarkEnd w:id="20"/>
    <w:bookmarkEnd w:id="21"/>
    <w:bookmarkStart w:id="22" w:name="executive-summary-and-scope"/>
    <w:p>
      <w:pPr>
        <w:pStyle w:val="Heading2"/>
      </w:pPr>
      <w:r>
        <w:t xml:space="preserve">1. Executive Summary and Scope</w:t>
      </w:r>
    </w:p>
    <w:p>
      <w:pPr>
        <w:pStyle w:val="FirstParagraph"/>
      </w:pPr>
      <w:r>
        <w:t xml:space="preserve">The primary objective of this comprehensive Laboratory Report is to document the rigorous analytical procedures undertaken by our certified Chemist team operating within the United Kingdom London jurisdiction. As a premier scientific institution situated in the heart of capital city, we adhere strictly to all regulatory frameworks mandated by both local health authorities and national standards bodies such as ISO 17025. This report serves as an official record of chemical analysis performed on pharmaceutical compounds intended for distribution through high street Chemist outlets across the region.</w:t>
      </w:r>
    </w:p>
    <w:p>
      <w:pPr>
        <w:pStyle w:val="BodyText"/>
      </w:pPr>
      <w:r>
        <w:t xml:space="preserve">In today’s healthcare landscape, ensuring the purity, potency, and safety of medicinal products is paramount. Our facility in United Kingdom London has been tasked with conducting a detailed batch analysis to verify compliance with British Pharmacopoeia standards. The scope of this investigation encompasses qualitative identification tests as well as quantitative assay determinations designed to confirm that the submitted samples meet all legal requirements for public sale within independent and chain Chemist stores throughout the city.</w:t>
      </w:r>
    </w:p>
    <w:bookmarkEnd w:id="22"/>
    <w:bookmarkStart w:id="25" w:name="methodology-and-experimental-procedure"/>
    <w:p>
      <w:pPr>
        <w:pStyle w:val="Heading2"/>
      </w:pPr>
      <w:r>
        <w:t xml:space="preserve">2. Methodology and Experimental Procedure</w:t>
      </w:r>
    </w:p>
    <w:p>
      <w:pPr>
        <w:pStyle w:val="FirstParagraph"/>
      </w:pPr>
      <w:r>
        <w:t xml:space="preserve">The analytical methodology employed in this study was developed by our lead Chemist specialists to ensure maximum accuracy and reproducibility. All experiments were conducted under controlled environmental conditions typical of a professional laboratory setting in United Kingdom London, maintaining strict temperature and humidity controls to prevent sample degradation or contamination.</w:t>
      </w:r>
    </w:p>
    <w:bookmarkStart w:id="23" w:name="sample-preparation"/>
    <w:p>
      <w:pPr>
        <w:pStyle w:val="Heading3"/>
      </w:pPr>
      <w:r>
        <w:t xml:space="preserve">2.1 Sample Preparation</w:t>
      </w:r>
    </w:p>
    <w:p>
      <w:pPr>
        <w:pStyle w:val="FirstParagraph"/>
      </w:pPr>
      <w:r>
        <w:t xml:space="preserve">Samples received from various licensed Chemist retailers across Greater London were immediately logged into our centralised tracking system. Each container was inspected for integrity before proceeding with the opening process. The solid dosage forms were carefully pulverised using an agate mortar and pestle to ensure homogeneity prior to extraction, a critical step often required in rigorous pharmaceutical testing.</w:t>
      </w:r>
    </w:p>
    <w:bookmarkEnd w:id="23"/>
    <w:bookmarkStart w:id="24" w:name="analytical-techniques"/>
    <w:p>
      <w:pPr>
        <w:pStyle w:val="Heading3"/>
      </w:pPr>
      <w:r>
        <w:t xml:space="preserve">2.2 Analytical Techniques</w:t>
      </w:r>
    </w:p>
    <w:p>
      <w:pPr>
        <w:pStyle w:val="FirstParagraph"/>
      </w:pPr>
      <w:r>
        <w:t xml:space="preserve">We utilised High-Performance Liquid Chromatography (HPLC) coupled with Mass Spectrometry (MS) for the primary separation and identification of active ingredients. This advanced technique allows our Chemist analysts to detect trace impurities that could compromise patient safety. Additionally, titration methods were employed for aqueous solutions commonly found in over-the-counter remedies sold at local Chemist branches.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Parameter</w:t>
            </w:r>
          </w:p>
        </w:tc>
        <w:tc>
          <w:tcPr/>
          <w:p>
            <w:pPr>
              <w:pStyle w:val="Compact"/>
              <w:jc w:val="left"/>
            </w:pPr>
            <w:r>
              <w:rPr>
                <w:bCs/>
                <w:b/>
              </w:rPr>
              <w:t xml:space="preserve">Metric</w:t>
            </w:r>
          </w:p>
        </w:tc>
        <w:tc>
          <w:tcPr/>
          <w:p>
            <w:pPr>
              <w:pStyle w:val="Compact"/>
              <w:jc w:val="left"/>
            </w:pPr>
            <w:r>
              <w:rPr>
                <w:bCs/>
                <w:b/>
              </w:rPr>
              <w:t xml:space="preserve">National Standard Limit (UK)</w:t>
            </w:r>
          </w:p>
        </w:tc>
      </w:tr>
      <w:tr>
        <w:tc>
          <w:tcPr/>
          <w:p>
            <w:pPr>
              <w:pStyle w:val="Compact"/>
              <w:jc w:val="left"/>
            </w:pPr>
            <w:r>
              <w:t xml:space="preserve">Purity Assay</w:t>
            </w:r>
          </w:p>
        </w:tc>
        <w:tc>
          <w:tcPr/>
          <w:p>
            <w:pPr>
              <w:pStyle w:val="Compact"/>
              <w:jc w:val="left"/>
            </w:pPr>
            <w:r>
              <w:t xml:space="preserve">% w/w</w:t>
            </w:r>
          </w:p>
        </w:tc>
        <w:tc>
          <w:tcPr/>
          <w:p>
            <w:pPr>
              <w:pStyle w:val="Compact"/>
              <w:jc w:val="left"/>
            </w:pPr>
            <w:r>
              <w:t xml:space="preserve">98.0% - 102.0%</w:t>
            </w:r>
          </w:p>
        </w:tc>
      </w:tr>
      <w:tr>
        <w:tc>
          <w:tcPr/>
          <w:p>
            <w:pPr>
              <w:pStyle w:val="Compact"/>
              <w:jc w:val="left"/>
            </w:pPr>
            <w:r>
              <w:t xml:space="preserve">Dissolution Rate</w:t>
            </w:r>
          </w:p>
        </w:tc>
        <w:tc>
          <w:tcPr/>
          <w:p>
            <w:pPr>
              <w:pStyle w:val="Compact"/>
              <w:jc w:val="left"/>
            </w:pPr>
            <w:r>
              <w:t xml:space="preserve">Minutes</w:t>
            </w:r>
          </w:p>
        </w:tc>
        <w:tc>
          <w:tcPr/>
          <w:p>
            <w:pPr>
              <w:pStyle w:val="Compact"/>
              <w:jc w:val="left"/>
            </w:pPr>
            <w:r>
              <w:t xml:space="preserve">&lt; 30 mins</w:t>
            </w:r>
          </w:p>
        </w:tc>
      </w:tr>
    </w:tbl>
    <w:bookmarkEnd w:id="24"/>
    <w:bookmarkEnd w:id="25"/>
    <w:bookmarkStart w:id="28" w:name="results-and-interpretation"/>
    <w:p>
      <w:pPr>
        <w:pStyle w:val="Heading2"/>
      </w:pPr>
      <w:r>
        <w:t xml:space="preserve">3. Results and Interpretation</w:t>
      </w:r>
    </w:p>
    <w:p>
      <w:pPr>
        <w:pStyle w:val="FirstParagraph"/>
      </w:pPr>
      <w:r>
        <w:t xml:space="preserve">The data collected during this extensive testing period indicates that the majority of samples submitted for analysis from prominent Chemist vendors in United Kingdom London demonstrated exceptional compliance with regulatory standards. The HPLC chromatograms displayed distinct peaks corresponding to the expected retention times of target compounds, confirming their chemical identity beyond reasonable doubt.</w:t>
      </w:r>
    </w:p>
    <w:bookmarkStart w:id="26" w:name="purity-analysis"/>
    <w:p>
      <w:pPr>
        <w:pStyle w:val="Heading3"/>
      </w:pPr>
      <w:r>
        <w:t xml:space="preserve">3.1 Purity Analysis</w:t>
      </w:r>
    </w:p>
    <w:p>
      <w:pPr>
        <w:pStyle w:val="FirstParagraph"/>
      </w:pPr>
      <w:r>
        <w:t xml:space="preserve">All tested batches exhibited purity levels falling squarely within the mandated acceptance criteria established by national pharmacopoeial authorities. Specifically, no significant deviations were observed regarding degradation products or residual solvents commonly associated with manufacturing processes in pharmaceutical facilities supplying urban Chemist networks.</w:t>
      </w:r>
    </w:p>
    <w:bookmarkEnd w:id="26"/>
    <w:bookmarkStart w:id="27" w:name="statistical-significance"/>
    <w:p>
      <w:pPr>
        <w:pStyle w:val="Heading3"/>
      </w:pPr>
      <w:r>
        <w:t xml:space="preserve">3.2 Statistical Significance</w:t>
      </w:r>
    </w:p>
    <w:p>
      <w:pPr>
        <w:pStyle w:val="FirstParagraph"/>
      </w:pPr>
      <w:r>
        <w:t xml:space="preserve">To further validate our findings, statistical analysis was performed by our resident expert Chemist to determine if any anomalies existed within the dataset. Standard deviation calculations confirmed that variability remained minimal across all replicates tested, reinforcing confidence in the reliability of these analytical outcomes for stakeholders including NHS trusts and private healthcare providers relying on these products distributed via retail Chemists.</w:t>
      </w:r>
    </w:p>
    <w:bookmarkEnd w:id="27"/>
    <w:bookmarkEnd w:id="28"/>
    <w:bookmarkStart w:id="29" w:name="conclusion"/>
    <w:p>
      <w:pPr>
        <w:pStyle w:val="Heading2"/>
      </w:pPr>
      <w:r>
        <w:t xml:space="preserve">4. Conclusion</w:t>
      </w:r>
    </w:p>
    <w:p>
      <w:pPr>
        <w:pStyle w:val="FirstParagraph"/>
      </w:pPr>
      <w:r>
        <w:t xml:space="preserve">In conclusion, this Laboratory Report confirms that the chemical analyses performed on samples sourced from various Chemist establishments in United Kingdom London yield results fully compliant with current legislative requirements governing pharmaceutical quality assurance protocols. Our dedicated team of scientists continues to uphold the highest ethical and professional standards expected in modern scientific inquiry.</w:t>
      </w:r>
    </w:p>
    <w:p>
      <w:pPr>
        <w:pStyle w:val="BodyText"/>
      </w:pPr>
      <w:r>
        <w:t xml:space="preserve">The robust methodology applied here not only safeguards public health but also supports the reputation of reputable Chemist businesses operating within competitive metropolitan markets like London. By adhering strictly to international best practices, we ensure that every patient accessing medication through these trusted community pharmacies receives products of uncompromising quality and efficacy.</w:t>
      </w:r>
    </w:p>
    <w:bookmarkEnd w:id="29"/>
    <w:p>
      <w:pPr>
        <w:pStyle w:val="BodyText"/>
      </w:pPr>
      <w:r>
        <w:rPr>
          <w:iCs/>
          <w:i/>
        </w:rPr>
        <w:t xml:space="preserve">Note: This document constitutes an official record held by our organisation registered under laws applicable within United Kingdom London region. Any reproduction without written consent from authorised signatories is prohibited according to intellectual property regulations enforced domestically.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Chemist Services in United Kingdom London</dc:title>
  <dc:creator/>
  <dc:language>en</dc:language>
  <cp:keywords/>
  <dcterms:created xsi:type="dcterms:W3CDTF">2026-07-29T17:00:11Z</dcterms:created>
  <dcterms:modified xsi:type="dcterms:W3CDTF">2026-07-29T17:00:11Z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