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Comprehensive</w:t>
      </w:r>
      <w:r>
        <w:t xml:space="preserve"> </w:t>
      </w:r>
      <w:r>
        <w:t xml:space="preserve">Chemical</w:t>
      </w:r>
      <w:r>
        <w:t xml:space="preserve"> </w:t>
      </w:r>
      <w:r>
        <w:t xml:space="preserve">Assessment</w:t>
      </w:r>
      <w:r>
        <w:t xml:space="preserve"> </w:t>
      </w:r>
      <w:r>
        <w:t xml:space="preserve">for</w:t>
      </w:r>
      <w:r>
        <w:t xml:space="preserve"> </w:t>
      </w:r>
      <w:r>
        <w:t xml:space="preserve">New</w:t>
      </w:r>
      <w:r>
        <w:t xml:space="preserve"> </w:t>
      </w:r>
      <w:r>
        <w:t xml:space="preserve">York</w:t>
      </w:r>
      <w:r>
        <w:t xml:space="preserve"> </w:t>
      </w:r>
      <w:r>
        <w:t xml:space="preserve">City</w:t>
      </w:r>
      <w:r>
        <w:t xml:space="preserve"> </w:t>
      </w:r>
      <w:r>
        <w:t xml:space="preserve">Compliance</w:t>
      </w:r>
    </w:p>
    <w:p>
      <w:pPr>
        <w:pStyle w:val="FirstParagraph"/>
      </w:pPr>
      <w:r>
        <w:t xml:space="preserve">tr&gt;</w:t>
      </w:r>
    </w:p>
    <w:p>
      <w:pPr>
        <w:pStyle w:val="BodyText"/>
      </w:pPr>
      <w:r>
        <w:t xml:space="preserve">Date</w:t>
      </w:r>
    </w:p>
    <w:p>
      <w:pPr>
        <w:pStyle w:val="BodyText"/>
      </w:pPr>
      <w:r>
        <w:t xml:space="preserve">Sample ID</w:t>
      </w:r>
    </w:p>
    <w:p>
      <w:pPr>
        <w:pStyle w:val="BodyText"/>
      </w:pPr>
      <w:r>
        <w:t xml:space="preserve">Analysis Performed</w:t>
      </w:r>
    </w:p>
    <w:p>
      <w:pPr>
        <w:pStyle w:val="BodyText"/>
      </w:pPr>
      <w:r>
        <w:t xml:space="preserve">2023-1</w:t>
      </w:r>
    </w:p>
    <w:p>
      <w:pPr>
        <w:pStyle w:val="BodyText"/>
      </w:pPr>
      <w:r>
        <w:t xml:space="preserve">SDS</w:t>
      </w:r>
    </w:p>
    <w:p>
      <w:pPr>
        <w:pStyle w:val="BodyText"/>
      </w:pPr>
      <w:r>
        <w:t xml:space="preserve">95Disinfection Byproduct AnalysisTTHM and HAA5Ion ChromatographyEPA Method 300.</w:t>
      </w:r>
    </w:p>
    <w:p>
      <w:pPr>
        <w:pStyle w:val="BodyText"/>
      </w:pPr>
      <w:r>
        <w:t xml:space="preserve">.</w:t>
      </w:r>
    </w:p>
    <w:bookmarkStart w:id="25" w:name="laboratory-analysis-report"/>
    <w:p>
      <w:pPr>
        <w:pStyle w:val="Heading1"/>
      </w:pPr>
      <w:r>
        <w:t xml:space="preserve">Laboratory Analysis Report</w:t>
      </w:r>
    </w:p>
    <w:p>
      <w:pPr>
        <w:pStyle w:val="FirstParagraph"/>
      </w:pPr>
      <w:r>
        <w:rPr>
          <w:bCs/>
          <w:b/>
        </w:rPr>
        <w:t xml:space="preserve">Date of Issue:</w:t>
      </w:r>
      <w:r>
        <w:t xml:space="preserve"> </w:t>
      </w:r>
      <w:r>
        <w:t xml:space="preserve">October 24, 2023</w:t>
      </w:r>
      <w:r>
        <w:br/>
      </w:r>
    </w:p>
    <w:p>
      <w:pPr>
        <w:pStyle w:val="BodyText"/>
      </w:pPr>
      <w:r>
        <w:br/>
      </w:r>
      <w:r>
        <w:rPr>
          <w:bCs/>
          <w:b/>
        </w:rPr>
        <w:t xml:space="preserve">Laboratory Name:</w:t>
      </w:r>
      <w:r>
        <w:t xml:space="preserve">: MetroAnalytic Sciences Group Inc.</w:t>
      </w:r>
      <w:r>
        <w:br/>
      </w:r>
    </w:p>
    <w:p>
      <w:pPr>
        <w:pStyle w:val="BodyText"/>
      </w:pPr>
      <w:r>
        <w:t xml:space="preserve">  </w:t>
      </w:r>
    </w:p>
    <w:bookmarkStart w:id="20" w:name="introduction-and-scope"/>
    <w:p>
      <w:pPr>
        <w:pStyle w:val="Heading2"/>
      </w:pPr>
      <w:r>
        <w:t xml:space="preserve">1. Introduction and Scope</w:t>
      </w:r>
    </w:p>
    <w:p>
      <w:pPr>
        <w:pStyle w:val="FirstParagraph"/>
      </w:pPr>
      <w:r>
        <w:t xml:space="preserve">This</w:t>
      </w:r>
      <w:r>
        <w:t xml:space="preserve"> </w:t>
      </w:r>
      <w:r>
        <w:rPr>
          <w:bCs/>
          <w:b/>
        </w:rPr>
        <w:t xml:space="preserve">Laboratory Report</w:t>
      </w:r>
      <w:r>
        <w:t xml:space="preserve">, designated as document reference MS-LAB-2023-889, serves as an official record of chemical analyses conducted under the rigorous standards mandated for commercial operations within</w:t>
      </w:r>
      <w:r>
        <w:t xml:space="preserve"> </w:t>
      </w:r>
      <w:r>
        <w:rPr>
          <w:bCs/>
          <w:b/>
        </w:rPr>
        <w:t xml:space="preserve">New York City</w:t>
      </w:r>
      <w:r>
        <w:t xml:space="preserve">. The primary objective of this assessment was to evaluate a series of water and soil samples collected from various industrial and residential sites across the five boroughs. These sites are subject to strict regulatory oversight by both the local Department of Environmental Protection (NYC DEP) and federal bodies operating within the</w:t>
      </w:r>
      <w:r>
        <w:t xml:space="preserve"> </w:t>
      </w:r>
      <w:r>
        <w:rPr>
          <w:bCs/>
          <w:b/>
        </w:rPr>
        <w:t xml:space="preserve">United States</w:t>
      </w:r>
      <w:r>
        <w:t xml:space="preserve">.</w:t>
      </w:r>
    </w:p>
    <w:p>
      <w:pPr>
        <w:pStyle w:val="BodyText"/>
      </w:pPr>
      <w:r>
        <w:t xml:space="preserve">The role of the certified</w:t>
      </w:r>
      <w:r>
        <w:t xml:space="preserve"> </w:t>
      </w:r>
      <w:r>
        <w:rPr>
          <w:bCs/>
          <w:b/>
        </w:rPr>
        <w:t xml:space="preserve">Chemist</w:t>
      </w:r>
      <w:r>
        <w:t xml:space="preserve">, Dr. Elena Rodriguez, Lead Analytical Specialist, was central to this investigation. As a licensed professional practicing in New York State, the</w:t>
      </w:r>
      <w:r>
        <w:t xml:space="preserve"> </w:t>
      </w:r>
      <w:r>
        <w:rPr>
          <w:bCs/>
          <w:b/>
        </w:rPr>
        <w:t xml:space="preserve">Chemist</w:t>
      </w:r>
      <w:r>
        <w:t xml:space="preserve"> was responsible for ensuring that all analytical procedures adhered to current Good Laboratory Practices (cGLP). The scope of this report encompasses heavy metal screening, disinfection byproduct analysis, and organic pollutant detection. These tests are critical for maintaining public health safety in one of the densest metropolitan areas in the</w:t>
      </w:r>
      <w:r>
        <w:t xml:space="preserve"> </w:t>
      </w:r>
      <w:r>
        <w:rPr>
          <w:bCs/>
          <w:b/>
        </w:rPr>
        <w:t xml:space="preserve">United States</w:t>
      </w:r>
      <w:r>
        <w:t xml:space="preserve">. Given the aging infrastructure and high population density characteristic of</w:t>
      </w:r>
      <w:r>
        <w:t xml:space="preserve"> </w:t>
      </w:r>
      <w:r>
        <w:rPr>
          <w:bCs/>
          <w:b/>
        </w:rPr>
        <w:t xml:space="preserve">New York City</w:t>
      </w:r>
      <w:r>
        <w:t xml:space="preserve">, precise chemical monitoring is not merely a regulatory formality but a vital component of urban sustainability and environmental justice.</w:t>
      </w:r>
    </w:p>
    <w:bookmarkEnd w:id="20"/>
    <w:bookmarkStart w:id="21" w:name="methodology-and-standards"/>
    <w:p>
      <w:pPr>
        <w:pStyle w:val="Heading2"/>
      </w:pPr>
      <w:r>
        <w:t xml:space="preserve">2. Methodology and Standards</w:t>
      </w:r>
    </w:p>
    <w:p>
      <w:pPr>
        <w:pStyle w:val="FirstParagraph"/>
      </w:pPr>
      <w:r>
        <w:t xml:space="preserve">All analytical methods employed in this</w:t>
      </w:r>
      <w:r>
        <w:t xml:space="preserve"> </w:t>
      </w:r>
      <w:r>
        <w:rPr>
          <w:bCs/>
          <w:b/>
        </w:rPr>
        <w:t xml:space="preserve">Laboratory Report</w:t>
      </w:r>
      <w:r>
        <w:t xml:space="preserve"> were derived from the United States Environmental Protection Agency (USEPA) standard methods, which are fully adopted by the State of New York Department of Environmental Conservation (DEC). The</w:t>
      </w:r>
      <w:r>
        <w:t xml:space="preserve"> </w:t>
      </w:r>
      <w:r>
        <w:rPr>
          <w:bCs/>
          <w:b/>
        </w:rPr>
        <w:t xml:space="preserve">Chemist</w:t>
      </w:r>
      <w:r>
        <w:t xml:space="preserve"> utilized Inductively Coupled Plasma Mass Spectrometry (ICP-MS) for trace metal analysis due to its superior sensitivity and ability to detect elements at parts-per-trillion levels. For organic compounds, Gas Chromatography-Mass Spectrometry (GC-MS) was employed, ensuring the identification of volatile and semi-volatile organic pollutants.</w:t>
      </w:r>
    </w:p>
    <w:p>
      <w:pPr>
        <w:pStyle w:val="BodyText"/>
      </w:pPr>
      <w:r>
        <w:t xml:space="preserve">The laboratory operates in full compliance with ISO/IEC 17025 standards, which is a prerequisite for accreditation in the</w:t>
      </w:r>
      <w:r>
        <w:t xml:space="preserve"> </w:t>
      </w:r>
      <w:r>
        <w:rPr>
          <w:bCs/>
          <w:b/>
        </w:rPr>
        <w:t xml:space="preserve">United States</w:t>
      </w:r>
      <w:r>
        <w:t xml:space="preserve">. Every step of the process, from chain-of-custody documentation to final data interpretation, was meticulously logged. The</w:t>
      </w:r>
      <w:r>
        <w:t xml:space="preserve"> </w:t>
      </w:r>
      <w:r>
        <w:rPr>
          <w:bCs/>
          <w:b/>
        </w:rPr>
        <w:t xml:space="preserve">Chemist</w:t>
      </w:r>
      <w:r>
        <w:t xml:space="preserve"> verified that all calibration curves met the strict linearity requirements (R² &gt; 0.995) before proceeding with sample analysis. Furthermore, method blanks and spiked recovery samples were analyzed alongside field samples to ensure data integrity and accuracy.</w:t>
      </w:r>
    </w:p>
    <w:bookmarkEnd w:id="21"/>
    <w:bookmarkStart w:id="22" w:name="results-and-data-interpretation"/>
    <w:p>
      <w:pPr>
        <w:pStyle w:val="Heading2"/>
      </w:pPr>
      <w:r>
        <w:t xml:space="preserve">3. Results and Data Interpretation</w:t>
      </w:r>
    </w:p>
    <w:p>
      <w:pPr>
        <w:pStyle w:val="FirstParagraph"/>
      </w:pPr>
      <w:r>
        <w:t xml:space="preserve">The detailed results of the analyses are summarized in the table below. Each entry reflects the average concentration found in triplicate tests conducted by the</w:t>
      </w:r>
      <w:r>
        <w:t xml:space="preserve"> </w:t>
      </w:r>
      <w:r>
        <w:rPr>
          <w:bCs/>
          <w:b/>
        </w:rPr>
        <w:t xml:space="preserve">Chemist</w:t>
      </w:r>
      <w:r>
        <w:t xml:space="preserve">. The data presented herein is crucial for stakeholders operating within</w:t>
      </w:r>
      <w:r>
        <w:t xml:space="preserve"> </w:t>
      </w:r>
      <w:r>
        <w:rPr>
          <w:bCs/>
          <w:b/>
        </w:rPr>
        <w:t xml:space="preserve">New York City</w:t>
      </w:r>
      <w:r>
        <w:t xml:space="preserve">, as it directly impacts zoning permissions, health permits, and remediation orders.</w:t>
      </w:r>
    </w:p>
    <w:p>
      <w:pPr>
        <w:pStyle w:val="BodyText"/>
      </w:pPr>
      <w:r>
        <w:t xml:space="preserve">Date</w:t>
      </w:r>
    </w:p>
    <w:bookmarkEnd w:id="22"/>
    <w:p>
      <w:pPr>
        <w:pStyle w:val="BodyText"/>
      </w:pPr>
      <w:r>
        <w:t xml:space="preserve">Sample ID</w:t>
      </w:r>
    </w:p>
    <w:p>
      <w:pPr>
        <w:pStyle w:val="BodyText"/>
      </w:pPr>
      <w:r>
        <w:t xml:space="preserve">Analysis Performed</w:t>
      </w:r>
    </w:p>
    <w:p>
      <w:pPr>
        <w:pStyle w:val="BodyText"/>
      </w:pPr>
      <w:r>
        <w:t xml:space="preserve">Pollutants Tested Methodology  </w:t>
      </w:r>
    </w:p>
    <w:p>
      <w:pPr>
        <w:pStyle w:val="BodyText"/>
      </w:pPr>
      <w:r>
        <w:t xml:space="preserve">2</w:t>
      </w:r>
    </w:p>
    <w:p>
      <w:pPr>
        <w:pStyle w:val="BodyText"/>
      </w:pPr>
      <w:r>
        <w:t xml:space="preserve">SDS</w:t>
      </w:r>
    </w:p>
    <w:p>
      <w:pPr>
        <w:pStyle w:val="BodyText"/>
      </w:pPr>
      <w:r>
        <w:t xml:space="preserve"> Disinfection Byproduct AnalysisTTHM and HAA5Ion ChromatographyEPA Method 300.</w:t>
      </w:r>
    </w:p>
    <w:p>
      <w:pPr>
        <w:pStyle w:val="BodyText"/>
      </w:pPr>
      <w:r>
        <w:rPr>
          <w:bCs/>
          <w:b/>
        </w:rPr>
        <w:t xml:space="preserve">Narrative Analysis:</w:t>
      </w:r>
    </w:p>
    <w:p>
      <w:pPr>
        <w:numPr>
          <w:ilvl w:val="0"/>
          <w:numId w:val="1001"/>
        </w:numPr>
        <w:pStyle w:val="Compact"/>
      </w:pPr>
      <w:r>
        <w:t xml:space="preserve">Samples SDS-994 and SDS-1012:New York City’s older manufacturing districts.</w:t>
      </w:r>
    </w:p>
    <w:p>
      <w:pPr>
        <w:numPr>
          <w:ilvl w:val="0"/>
          <w:numId w:val="1001"/>
        </w:numPr>
        <w:pStyle w:val="Compact"/>
      </w:pPr>
      <w:r>
        <w:t xml:space="preserve">Samples SDS-1003 and SDS-1025:United States jurisdictions are effectively managing disinfection byproducts.</w:t>
      </w:r>
    </w:p>
    <w:p>
      <w:pPr>
        <w:numPr>
          <w:ilvl w:val="0"/>
          <w:numId w:val="1001"/>
        </w:numPr>
        <w:pStyle w:val="Compact"/>
      </w:pPr>
      <w:r>
        <w:t xml:space="preserve">Samples SDS-998 and SDS-1030:New York City.</w:t>
      </w:r>
    </w:p>
    <w:bookmarkStart w:id="23" w:name="conclusion-and-recommendations"/>
    <w:p>
      <w:pPr>
        <w:pStyle w:val="Heading2"/>
      </w:pPr>
      <w:r>
        <w:rPr>
          <w:bCs/>
          <w:b/>
        </w:rPr>
        <w:t xml:space="preserve">4. Conclusion and Recommendations</w:t>
      </w:r>
    </w:p>
    <w:p>
      <w:pPr>
        <w:pStyle w:val="FirstParagraph"/>
      </w:pPr>
      <w:r>
        <w:t xml:space="preserve">In conclusion, this</w:t>
      </w:r>
    </w:p>
    <w:p>
      <w:pPr>
        <w:pStyle w:val="BodyText"/>
      </w:pPr>
      <w:r>
        <w:t xml:space="preserve">Laboratory Report demonstrates that the majority of samples analyzed conform to the stringent regulatory standards enforced by both state and federal authorities in the</w:t>
      </w:r>
    </w:p>
    <w:p>
      <w:pPr>
        <w:pStyle w:val="BodyText"/>
      </w:pPr>
      <w:r>
        <w:t xml:space="preserve">United States. The work performed by the certified</w:t>
      </w:r>
      <w:r>
        <w:t xml:space="preserve"> </w:t>
      </w:r>
      <w:r>
        <w:rPr>
          <w:bCs/>
          <w:b/>
        </w:rPr>
        <w:t xml:space="preserve">Chemist</w:t>
      </w:r>
      <w:r>
        <w:t xml:space="preserve"> ensures that public health risks are minimized through accurate and reliable data. However, specific anomalies detected in heavy metal screening require follow-up assessments.</w:t>
      </w:r>
    </w:p>
    <w:p>
      <w:pPr>
        <w:pStyle w:val="BodyText"/>
      </w:pPr>
      <w:r>
        <w:t xml:space="preserve">The</w:t>
      </w:r>
    </w:p>
    <w:p>
      <w:pPr>
        <w:pStyle w:val="BodyText"/>
      </w:pPr>
      <w:r>
        <w:t xml:space="preserve">Chemist recommends the following actions for entities operating in</w:t>
      </w:r>
    </w:p>
    <w:p>
      <w:pPr>
        <w:pStyle w:val="BodyText"/>
      </w:pPr>
      <w:r>
        <w:t xml:space="preserve">New York City:</w:t>
      </w:r>
    </w:p>
    <w:p>
      <w:pPr>
        <w:pStyle w:val="BodyText"/>
      </w:pPr>
      <w:r>
        <w:t xml:space="preserve">Conduct quarterly monitoring of heavy metals in soil at Site SDS-994 to track trends over time.</w:t>
      </w:r>
    </w:p>
    <w:p>
      <w:pPr>
        <w:pStyle w:val="BodyText"/>
      </w:pPr>
      <w:r>
        <w:t xml:space="preserve">Maintain current water treatment protocols, as indicated by the successful TTHM and HAA5 results.</w:t>
      </w:r>
    </w:p>
    <w:p>
      <w:pPr>
        <w:pStyle w:val="BodyText"/>
      </w:pPr>
      <w:r>
        <w:t xml:space="preserve">Clean up the benzene contamination at Site SDS-998 using standard pump-and-treat remediation techniques before property redevelopment proceeds.</w:t>
      </w:r>
    </w:p>
    <w:p>
      <w:pPr>
        <w:pStyle w:val="BodyText"/>
      </w:pPr>
      <w:r>
        <w:t xml:space="preserve">This report is issued in good faith and represents the best scientific judgment of the</w:t>
      </w:r>
    </w:p>
    <w:p>
      <w:pPr>
        <w:pStyle w:val="BodyText"/>
      </w:pPr>
      <w:r>
        <w:t xml:space="preserve">Chemist at MetroAnalytic Sciences. It is intended solely for use by authorized personnel and regulatory agencies within</w:t>
      </w:r>
    </w:p>
    <w:p>
      <w:pPr>
        <w:pStyle w:val="BodyText"/>
      </w:pPr>
      <w:r>
        <w:t xml:space="preserve">New York City and other jurisdictions as required by law. Any distribution of this document outside these bounds must include full transparency regarding its limitations and scope.</w:t>
      </w:r>
    </w:p>
    <w:bookmarkEnd w:id="23"/>
    <w:bookmarkStart w:id="24" w:name="certification"/>
    <w:p>
      <w:pPr>
        <w:pStyle w:val="Heading2"/>
      </w:pPr>
      <w:r>
        <w:t xml:space="preserve">5. Certification</w:t>
      </w:r>
    </w:p>
    <w:p>
      <w:pPr>
        <w:pStyle w:val="FirstParagraph"/>
      </w:pPr>
      <w:r>
        <w:t xml:space="preserve">I hereby certify that the analyses described in this</w:t>
      </w:r>
    </w:p>
    <w:p>
      <w:pPr>
        <w:pStyle w:val="BodyText"/>
      </w:pPr>
      <w:r>
        <w:t xml:space="preserve">Laboratory Report were performed under my direct supervision or review, in accordance with standard operating procedures approved for practice in New York State. The data presented is accurate and reflects the true state of the samples submitted to our facility.</w:t>
      </w:r>
    </w:p>
    <w:p>
      <w:pPr>
        <w:pStyle w:val="BodyText"/>
      </w:pPr>
      <w:r>
        <w:t xml:space="preserve">Dr. Elena Rodriguez, Ph.D., DABT  Lead</w:t>
      </w:r>
    </w:p>
    <w:p>
      <w:pPr>
        <w:pStyle w:val="BodyText"/>
      </w:pPr>
      <w:r>
        <w:t xml:space="preserve">Chemist | Certified Environmental Specialist</w:t>
      </w:r>
      <w:r>
        <w:br/>
      </w:r>
      <w:r>
        <w:t xml:space="preserve">MetroAnalytic Sciences Group Inc.</w:t>
      </w:r>
      <w:r>
        <w:br/>
      </w:r>
      <w:r>
        <w:t xml:space="preserve">New York,</w:t>
      </w:r>
    </w:p>
    <w:p>
      <w:pPr>
        <w:pStyle w:val="BodyText"/>
      </w:pPr>
      <w:r>
        <w:t xml:space="preserve">New York,</w:t>
      </w:r>
    </w:p>
    <w:p>
      <w:pPr>
        <w:pStyle w:val="BodyText"/>
      </w:pPr>
      <w:r>
        <w:t xml:space="preserve">United States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Comprehensive Chemical Assessment for New York City Compliance</dc:title>
  <dc:creator/>
  <dc:language>en</dc:language>
  <cp:keywords/>
  <dcterms:created xsi:type="dcterms:W3CDTF">2026-07-29T21:33:55Z</dcterms:created>
  <dcterms:modified xsi:type="dcterms:W3CDTF">2026-07-29T21:33:55Z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