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Lab</w:t>
      </w:r>
      <w:r>
        <w:t xml:space="preserve"> </w:t>
      </w:r>
      <w:r>
        <w:t xml:space="preserve">Report:</w:t>
      </w:r>
      <w:r>
        <w:t xml:space="preserve"> </w:t>
      </w:r>
      <w:r>
        <w:t xml:space="preserve">Melbourne</w:t>
      </w:r>
      <w:r>
        <w:t xml:space="preserve"> </w:t>
      </w:r>
      <w:r>
        <w:t xml:space="preserve">Infrastructure</w:t>
      </w:r>
      <w:r>
        <w:t xml:space="preserve"> </w:t>
      </w:r>
      <w:r>
        <w:t xml:space="preserve">Analysis</w:t>
      </w:r>
    </w:p>
    <w:bookmarkStart w:id="20" w:name="civil-engineering-laboratory-report"/>
    <w:p>
      <w:pPr>
        <w:pStyle w:val="Heading1"/>
      </w:pPr>
      <w:r>
        <w:t xml:space="preserve">Civil Engineering Laboratory Report</w:t>
      </w:r>
    </w:p>
    <w:p>
      <w:pPr>
        <w:pStyle w:val="FirstParagraph"/>
      </w:pPr>
      <w:r>
        <w:rPr>
          <w:bCs/>
          <w:b/>
        </w:rPr>
        <w:t xml:space="preserve">Date:</w:t>
      </w:r>
      <w:r>
        <w:t xml:space="preserve"> </w:t>
      </w:r>
      <w:r>
        <w:t xml:space="preserve">October 24, 2023</w:t>
      </w:r>
      <w:r>
        <w:br/>
      </w:r>
      <w:r>
        <w:rPr>
          <w:bCs/>
          <w:b/>
        </w:rPr>
        <w:t xml:space="preserve">Laboratory Location:</w:t>
      </w:r>
      <w:r>
        <w:t xml:space="preserve"> </w:t>
      </w:r>
      <w:r>
        <w:t xml:space="preserve">Melbourne Civil Infrastructure Testing Facility, Australia</w:t>
      </w:r>
      <w:r>
        <w:br/>
      </w:r>
      <w:r>
        <w:rPr>
          <w:bCs/>
          <w:b/>
        </w:rPr>
        <w:t xml:space="preserve">Purpose:</w:t>
      </w:r>
      <w:r>
        <w:t xml:space="preserve">To evaluate geotechnical stability and material durability for a proposed high-density urban development in the Melbourne metropolitan area.</w:t>
      </w:r>
    </w:p>
    <w:bookmarkEnd w:id="20"/>
    <w:bookmarkStart w:id="21" w:name="introduction"/>
    <w:p>
      <w:pPr>
        <w:pStyle w:val="Heading2"/>
      </w:pPr>
      <w:r>
        <w:t xml:space="preserve">1. Introduction</w:t>
      </w:r>
    </w:p>
    <w:p>
      <w:pPr>
        <w:pStyle w:val="FirstParagraph"/>
      </w:pPr>
      <w:r>
        <w:t xml:space="preserve">The rapid expansion of the city of Melbourne, located in Australia, necessitates rigorous civil engineering standards to ensure structural integrity and public safety. This laboratory report details the findings from a series of geotechnical and material science tests conducted specifically within the unique geological context of Melbourne. As a major metropolitan hub in Australia, Melbourne presents distinct challenges for civil engineers due to its variable soil profiles, particularly the presence of reactive clay soils common in suburban expansions.</w:t>
      </w:r>
    </w:p>
    <w:p>
      <w:pPr>
        <w:pStyle w:val="BodyText"/>
      </w:pPr>
      <w:r>
        <w:t xml:space="preserve">The primary objective of this report is to analyze the bearing capacity and shear strength of soil samples collected from a proposed construction site in the Western Growth Corridor. Furthermore, the report assesses concrete durability against chloride ingress, a critical factor for longevity in Australian coastal and semi-coastal environments. The findings herein are intended to guide the design phase for a multi-story residential complex, ensuring compliance with Australian Standards (AS) and local council regulations.</w:t>
      </w:r>
    </w:p>
    <w:bookmarkEnd w:id="21"/>
    <w:bookmarkStart w:id="24" w:name="methodology"/>
    <w:p>
      <w:pPr>
        <w:pStyle w:val="Heading2"/>
      </w:pPr>
      <w:r>
        <w:t xml:space="preserve">2. Methodology</w:t>
      </w:r>
    </w:p>
    <w:p>
      <w:pPr>
        <w:pStyle w:val="FirstParagraph"/>
      </w:pPr>
      <w:r>
        <w:t xml:space="preserve">To ensure accurate representation of the Melbourne subsurface conditions, samples were extracted using a hollow-stem auger boring technique at three distinct depths: 1.5m, 3.0m, and 6.0m below ground level.</w:t>
      </w:r>
    </w:p>
    <w:bookmarkStart w:id="22" w:name="geotechnical-testing"/>
    <w:p>
      <w:pPr>
        <w:pStyle w:val="Heading3"/>
      </w:pPr>
      <w:r>
        <w:t xml:space="preserve">2.1 Geotechnical Testing</w:t>
      </w:r>
    </w:p>
    <w:p>
      <w:pPr>
        <w:pStyle w:val="FirstParagraph"/>
      </w:pPr>
      <w:r>
        <w:t xml:space="preserve">All soil samples underwent Atterberg Limits testing to determine plasticity indices, following AS 1289.3.2.1 procedures specific to Australian geotechnical practices. Additionally, triaxial compression tests were performed to measure the effective shear strength parameters (cohesion and angle of internal friction). These tests are crucial for predicting slope stability in Melbourne’s varying topography.</w:t>
      </w:r>
    </w:p>
    <w:bookmarkEnd w:id="22"/>
    <w:bookmarkStart w:id="23" w:name="material-durability-testing"/>
    <w:p>
      <w:pPr>
        <w:pStyle w:val="Heading3"/>
      </w:pPr>
      <w:r>
        <w:t xml:space="preserve">2.2 Material Durability Testing</w:t>
      </w:r>
    </w:p>
    <w:p>
      <w:pPr>
        <w:pStyle w:val="FirstParagraph"/>
      </w:pPr>
      <w:r>
        <w:t xml:space="preserve">Cylindrical concrete specimens, cured for 28 days, were subjected to rapid chloride permeability testing (RCPT) in accordance with ASTM C1202. This method is vital for civil engineers operating in Australia, where exposure to saline environments can accelerate corrosion of reinforcing steel within concrete structures.</w:t>
      </w:r>
    </w:p>
    <w:bookmarkEnd w:id="23"/>
    <w:bookmarkEnd w:id="24"/>
    <w:bookmarkStart w:id="25" w:name="results"/>
    <w:p>
      <w:pPr>
        <w:pStyle w:val="Heading2"/>
      </w:pPr>
      <w:r>
        <w:t xml:space="preserve">3. Results</w:t>
      </w:r>
    </w:p>
    <w:p>
      <w:pPr>
        <w:pStyle w:val="FirstParagraph"/>
      </w:pPr>
      <w:r>
        <w:t xml:space="preserve">The laboratory data indicates significant variability in soil characteristics across the test site, reflecting the complex glacial and riverine deposits typical of Melbourne’s geological history.</w:t>
      </w:r>
    </w:p>
    <w:p>
      <w:pPr>
        <w:pStyle w:val="BodyText"/>
      </w:pPr>
      <w:r>
        <w:t xml:space="preserve">Test Parameter</w:t>
      </w:r>
    </w:p>
    <w:bookmarkEnd w:id="25"/>
    <w:p>
      <w:pPr>
        <w:pStyle w:val="BodyText"/>
      </w:pPr>
      <w:r>
        <w:t xml:space="preserve">Sample A (1.5m)</w:t>
      </w:r>
    </w:p>
    <w:p>
      <w:pPr>
        <w:pStyle w:val="BodyText"/>
      </w:pPr>
      <w:r>
        <w:t xml:space="preserve">Sample B (3.0m)</w:t>
      </w:r>
    </w:p>
    <w:p>
      <w:pPr>
        <w:pStyle w:val="BodyText"/>
      </w:pPr>
      <w:r>
        <w:t xml:space="preserve">Sample C (6.0m)</w:t>
      </w:r>
    </w:p>
    <w:p>
      <w:pPr>
        <w:pStyle w:val="BodyText"/>
      </w:pPr>
      <w:r>
        <w:t xml:space="preserve">Bulk Density (kg/m³)</w:t>
      </w:r>
    </w:p>
    <w:p>
      <w:pPr>
        <w:pStyle w:val="BodyText"/>
      </w:pPr>
      <w:r>
        <w:t xml:space="preserve">1,650</w:t>
      </w:r>
    </w:p>
    <w:p>
      <w:pPr>
        <w:pStyle w:val="BodyText"/>
      </w:pPr>
      <w:r>
        <w:t xml:space="preserve">1,820</w:t>
      </w:r>
    </w:p>
    <w:p>
      <w:pPr>
        <w:pStyle w:val="BodyText"/>
      </w:pPr>
      <w:r>
        <w:t xml:space="preserve">1,950</w:t>
      </w:r>
    </w:p>
    <w:p>
      <w:pPr>
        <w:pStyle w:val="BodyText"/>
      </w:pPr>
      <w:r>
        <w:t xml:space="preserve">Sensitivity to Moisture (% Change in Volume)</w:t>
      </w:r>
    </w:p>
    <w:p>
      <w:pPr>
        <w:pStyle w:val="BodyText"/>
      </w:pPr>
      <w:r>
        <w:t xml:space="preserve">Moderate (Class M)</w:t>
      </w:r>
    </w:p>
    <w:p>
      <w:pPr>
        <w:pStyle w:val="BodyText"/>
      </w:pPr>
      <w:r>
        <w:t xml:space="preserve">High (Class H)</w:t>
      </w:r>
    </w:p>
    <w:p>
      <w:pPr>
        <w:pStyle w:val="BodyText"/>
      </w:pPr>
      <w:r>
        <w:rPr>
          <w:bCs/>
          <w:b/>
        </w:rPr>
        <w:t xml:space="preserve">Moderate-Heavy (Class MH)</w:t>
      </w:r>
    </w:p>
    <w:p>
      <w:pPr>
        <w:pStyle w:val="BodyText"/>
      </w:pPr>
      <w:r>
        <w:t xml:space="preserve">Cohesion (kPa) – Peak</w:t>
      </w:r>
    </w:p>
    <w:p>
      <w:pPr>
        <w:pStyle w:val="BodyText"/>
      </w:pPr>
      <w:r>
        <w:t xml:space="preserve">15.4</w:t>
      </w:r>
    </w:p>
    <w:p>
      <w:pPr>
        <w:pStyle w:val="BodyText"/>
      </w:pPr>
      <w:r>
        <w:br/>
      </w:r>
      <w:r>
        <w:t xml:space="preserve">(Soft Clay)</w:t>
      </w:r>
      <w:r>
        <w:t xml:space="preserve">, 28.7, 45.2</w:t>
      </w:r>
      <w:r>
        <w:br/>
      </w:r>
    </w:p>
    <w:p>
      <w:pPr>
        <w:pStyle w:val="BodyText"/>
      </w:pPr>
      <w:r>
        <w:t xml:space="preserve">Angle of Internal Friction (°)</w:t>
      </w:r>
    </w:p>
    <w:p>
      <w:pPr>
        <w:pStyle w:val="BodyText"/>
      </w:pPr>
      <w:r>
        <w:t xml:space="preserve">8°</w:t>
      </w:r>
    </w:p>
    <w:p>
      <w:pPr>
        <w:pStyle w:val="BodyText"/>
      </w:pPr>
      <w:r>
        <w:t xml:space="preserve">14°</w:t>
      </w:r>
    </w:p>
    <w:p>
      <w:pPr>
        <w:pStyle w:val="BodyText"/>
      </w:pPr>
      <w:r>
        <w:t xml:space="preserve">   </w:t>
      </w:r>
    </w:p>
    <w:p>
      <w:pPr>
        <w:pStyle w:val="BodyText"/>
      </w:pPr>
      <w:r>
        <w:t xml:space="preserve">)</w:t>
      </w:r>
      <w:r>
        <w:br/>
      </w:r>
    </w:p>
    <w:p>
      <w:pPr>
        <w:pStyle w:val="BodyText"/>
      </w:pPr>
      <w:r>
        <w:t xml:space="preserve">""&gt;20.5°</w:t>
      </w:r>
    </w:p>
    <w:p>
      <w:pPr>
        <w:pStyle w:val="BodyText"/>
      </w:pPr>
      <w:r>
        <w:t xml:space="preserve">)</w:t>
      </w:r>
      <w:r>
        <w:br/>
      </w:r>
      <w:r>
        <w:t xml:space="preserve">""&gt;</w:t>
      </w:r>
    </w:p>
    <w:p>
      <w:pPr>
        <w:pStyle w:val="BodyText"/>
      </w:pPr>
      <w:r>
        <w:t xml:space="preserve">)</w:t>
      </w:r>
      <w:r>
        <w:br/>
      </w:r>
    </w:p>
    <w:p>
      <w:pPr>
        <w:pStyle w:val="BodyText"/>
      </w:pPr>
      <w:r>
        <w:t xml:space="preserve">""&gt;</w:t>
      </w:r>
    </w:p>
    <w:p>
      <w:pPr>
        <w:pStyle w:val="BodyText"/>
      </w:pPr>
      <w:r>
        <w:t xml:space="preserve">Chloride Permeability (Coulombs)</w:t>
      </w:r>
    </w:p>
    <w:p>
      <w:pPr>
        <w:pStyle w:val="BodyText"/>
      </w:pPr>
      <w:r>
        <w:t xml:space="preserve">&lt; 1,000 (Low)</w:t>
      </w:r>
    </w:p>
    <w:p>
      <w:pPr>
        <w:pStyle w:val="BodyText"/>
      </w:pPr>
      <w:r>
        <w:t xml:space="preserve">Note: Sample B exhibited high reactivity, indicating potential for significant ground movement during dry periods. This is a common issue in Melbourne’s suburban zones where eucalyptus vegetation extracts moisture from the soil, causing shrinkage.</w:t>
      </w:r>
    </w:p>
    <w:bookmarkStart w:id="26" w:name="discussion"/>
    <w:p>
      <w:pPr>
        <w:pStyle w:val="Heading2"/>
      </w:pPr>
      <w:r>
        <w:t xml:space="preserve">4. Discussion</w:t>
      </w:r>
    </w:p>
    <w:p>
      <w:pPr>
        <w:pStyle w:val="FirstParagraph"/>
      </w:pPr>
      <w:r>
        <w:t xml:space="preserve">The results obtained from this laboratory analysis highlight the critical importance of site-specific design for civil engineers working in Melbourne. The high moisture sensitivity observed in Sample B suggests that standard shallow foundations may not be suitable without significant modification. In the context of Australian building codes, this level of reactivity often necessitates the use of suspended slab-on-ground systems or deep piling to bypass reactive clay layers.</w:t>
      </w:r>
    </w:p>
    <w:p>
      <w:pPr>
        <w:pStyle w:val="BodyText"/>
      </w:pPr>
      <w:r>
        <w:t xml:space="preserve">Furthermore, the low chloride permeability results for the concrete specimens are encouraging. This indicates that the mix design used is robust enough to withstand Melbourne’s marine-influenced atmosphere. However, civil engineers must still specify adequate concrete cover depths for reinforcement bars as per AS 3600 (Concrete Structures). The combination of durable concrete and appropriate foundation engineering ensures a long service life for the structure.</w:t>
      </w:r>
    </w:p>
    <w:p>
      <w:pPr>
        <w:pStyle w:val="BodyText"/>
      </w:pPr>
      <w:r>
        <w:t xml:space="preserve">Comparing these findings to previous projects in Australia’s major cities, Melbourne’s soil profile presents a more complex challenge than Sydney or Brisbane due to the prevalence of reactive clays. This underscores the need for specialized geotechnical investigation as part of every civil engineering project lifecycle in this region.</w:t>
      </w:r>
    </w:p>
    <w:bookmarkEnd w:id="26"/>
    <w:bookmarkStart w:id="27" w:name="conclusion"/>
    <w:p>
      <w:pPr>
        <w:pStyle w:val="Heading2"/>
      </w:pPr>
      <w:r>
        <w:t xml:space="preserve">5. Conclusion</w:t>
      </w:r>
    </w:p>
    <w:p>
      <w:pPr>
        <w:pStyle w:val="FirstParagraph"/>
      </w:pPr>
      <w:r>
        <w:t xml:space="preserve">In conclusion, this lab report provides essential data for the safe design of infrastructure in Melbourne, Australia. The geotechnical tests confirm that while surface soils are variable and reactive, deeper strata offer stable bearing capacities suitable for structural support if proper foundation engineering techniques are employed. The material testing confirms that standard Australian concrete mixtures perform well regarding durability.</w:t>
      </w:r>
    </w:p>
    <w:p>
      <w:pPr>
        <w:pStyle w:val="BodyText"/>
      </w:pPr>
      <w:r>
        <w:t xml:space="preserve">Civil engineers must prioritize deep foundation solutions for the western sectors of the site where Sample B was collected. By adhering to these laboratory recommendations, the proposed development can achieve sustainability goals and structural safety standards required by local authorities in Melbourne. Future monitoring should be established to track any differential settlement during the first year of construction, particularly following seasonal weather changes.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Lab Report: Melbourne Infrastructure Analysis</dc:title>
  <dc:creator/>
  <dc:language>en</dc:language>
  <cp:keywords/>
  <dcterms:created xsi:type="dcterms:W3CDTF">2026-07-29T11:38:16Z</dcterms:created>
  <dcterms:modified xsi:type="dcterms:W3CDTF">2026-07-29T11:38:16Z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