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Sydney</w:t>
      </w:r>
      <w:r>
        <w:t xml:space="preserve"> </w:t>
      </w:r>
      <w:r>
        <w:t xml:space="preserve">Infrastructure</w:t>
      </w:r>
      <w:r>
        <w:t xml:space="preserve"> </w:t>
      </w:r>
      <w:r>
        <w:t xml:space="preserve">Analysis</w:t>
      </w:r>
    </w:p>
    <w:bookmarkStart w:id="24" w:name="civil-engineering-laboratory-report"/>
    <w:p>
      <w:pPr>
        <w:pStyle w:val="Heading1"/>
      </w:pPr>
      <w:r>
        <w:t xml:space="preserve">Civil Engineering Laboratory Report</w:t>
      </w:r>
    </w:p>
    <w:p>
      <w:pPr>
        <w:pStyle w:val="FirstParagraph"/>
      </w:pPr>
      <w:r>
        <w:rPr>
          <w:bCs/>
          <w:b/>
        </w:rPr>
        <w:t xml:space="preserve">Date:</w:t>
      </w:r>
      <w:r>
        <w:t xml:space="preserve"> </w:t>
      </w:r>
      <w:r>
        <w:t xml:space="preserve">October 24, 2023</w:t>
      </w:r>
      <w:r>
        <w:br/>
      </w:r>
      <w:r>
        <w:rPr>
          <w:bCs/>
          <w:b/>
        </w:rPr>
        <w:t xml:space="preserve">Draft Author:</w:t>
      </w:r>
      <w:r>
        <w:t xml:space="preserve"> </w:t>
      </w:r>
      <w:r>
        <w:t xml:space="preserve">Senior Geotechnical Engineer</w:t>
      </w:r>
      <w:r>
        <w:br/>
      </w:r>
      <w:r>
        <w:rPr>
          <w:bCs/>
          <w:b/>
        </w:rPr>
        <w:t xml:space="preserve">Institution:</w:t>
      </w:r>
      <w:r>
        <w:t xml:space="preserve"> </w:t>
      </w:r>
      <w:r>
        <w:t xml:space="preserve">Sydney Infrastructure Testing Facility, Australia Sydney</w:t>
      </w:r>
    </w:p>
    <w:bookmarkStart w:id="20" w:name="introduction-and-executive-summary"/>
    <w:p>
      <w:pPr>
        <w:pStyle w:val="Heading2"/>
      </w:pPr>
      <w:r>
        <w:t xml:space="preserve">1. Introduction and Executive Summary</w:t>
      </w:r>
    </w:p>
    <w:p>
      <w:pPr>
        <w:pStyle w:val="FirstParagraph"/>
      </w:pPr>
      <w:r>
        <w:t xml:space="preserve">This laboratory report documents the comprehensive geotechnical and material analysis conducted for a proposed high-density residential development in the heart of</w:t>
      </w:r>
      <w:r>
        <w:t xml:space="preserve"> </w:t>
      </w:r>
      <w:r>
        <w:rPr>
          <w:bCs/>
          <w:b/>
        </w:rPr>
        <w:t xml:space="preserve">Australia Sydney</w:t>
      </w:r>
      <w:r>
        <w:t xml:space="preserve">. The primary objective of this study is to validate the structural integrity plans for a multi-story complex located within the sandstone-rich geological formations characteristic of this region. As a</w:t>
      </w:r>
      <w:r>
        <w:t xml:space="preserve"> </w:t>
      </w:r>
      <w:r>
        <w:rPr>
          <w:bCs/>
          <w:b/>
        </w:rPr>
        <w:t xml:space="preserve">Civil Engineer</w:t>
      </w:r>
      <w:r>
        <w:t xml:space="preserve">, it is imperative to ensure that all design parameters adhere strictly to the Australian Standards (AS), particularly AS 2870 for residential slabs and AS 1726 for rock anchors, given the unique subsurface conditions found in</w:t>
      </w:r>
      <w:r>
        <w:t xml:space="preserve"> </w:t>
      </w:r>
      <w:r>
        <w:rPr>
          <w:bCs/>
          <w:b/>
        </w:rPr>
        <w:t xml:space="preserve">Australia Sydney</w:t>
      </w:r>
      <w:r>
        <w:t xml:space="preserve">.</w:t>
      </w:r>
    </w:p>
    <w:p>
      <w:pPr>
        <w:pStyle w:val="BodyText"/>
      </w:pPr>
      <w:r>
        <w:t xml:space="preserve">The report details findings from soil sampling, concrete compressive strength testing, and aggregate particle size distribution analysis. The data presented herein serves as a critical foundation for approving the construction methodology and ensuring long-term durability against environmental factors such as coastal salinity and seasonal moisture variations.</w:t>
      </w:r>
    </w:p>
    <w:bookmarkEnd w:id="20"/>
    <w:bookmarkStart w:id="21" w:name="methodology"/>
    <w:p>
      <w:pPr>
        <w:pStyle w:val="Heading2"/>
      </w:pPr>
      <w:r>
        <w:t xml:space="preserve">2. Methodology</w:t>
      </w:r>
    </w:p>
    <w:p>
      <w:pPr>
        <w:pStyle w:val="FirstParagraph"/>
      </w:pPr>
      <w:r>
        <w:t xml:space="preserve">The laboratory procedures were executed in accordance with ISO 17025 accreditation standards. The following methodologies were employed:</w:t>
      </w:r>
    </w:p>
    <w:p>
      <w:pPr>
        <w:numPr>
          <w:ilvl w:val="0"/>
          <w:numId w:val="1001"/>
        </w:numPr>
        <w:pStyle w:val="Compact"/>
      </w:pPr>
      <w:r>
        <w:rPr>
          <w:bCs/>
          <w:b/>
        </w:rPr>
        <w:t xml:space="preserve">Borehole Sampling:</w:t>
      </w:r>
      <w:r>
        <w:t xml:space="preserve"> </w:t>
      </w:r>
      <w:r>
        <w:t xml:space="preserve">Disturbed and undisturbed samples were retrieved from depths ranging from 0 to 15 meters below ground level (BGL) at three specific sites across the</w:t>
      </w:r>
      <w:r>
        <w:t xml:space="preserve"> </w:t>
      </w:r>
      <w:r>
        <w:rPr>
          <w:bCs/>
          <w:b/>
        </w:rPr>
        <w:t xml:space="preserve">Australia Sydney</w:t>
      </w:r>
      <w:r>
        <w:t xml:space="preserve"> </w:t>
      </w:r>
      <w:r>
        <w:t xml:space="preserve">project zone. The sampling technique utilized continuous flight auger drilling to minimize sample disturbance.</w:t>
      </w:r>
    </w:p>
    <w:p>
      <w:pPr>
        <w:numPr>
          <w:ilvl w:val="0"/>
          <w:numId w:val="1001"/>
        </w:numPr>
        <w:pStyle w:val="Compact"/>
      </w:pPr>
      <w:r>
        <w:rPr>
          <w:bCs/>
          <w:b/>
        </w:rPr>
        <w:t xml:space="preserve">Concrete Cube Testing:</w:t>
      </w:r>
      <w:r>
        <w:t xml:space="preserve"> </w:t>
      </w:r>
      <w:r>
        <w:t xml:space="preserve">Standardized concrete cubes (150mm x 150mm x 150mm) were cast using local aggregates and cured for 7, 28, and 90 days. Compression testing was performed using a calibrated hydraulic press.</w:t>
      </w:r>
    </w:p>
    <w:p>
      <w:pPr>
        <w:numPr>
          <w:ilvl w:val="0"/>
          <w:numId w:val="1001"/>
        </w:numPr>
        <w:pStyle w:val="Compact"/>
      </w:pPr>
      <w:r>
        <w:rPr>
          <w:bCs/>
          <w:b/>
        </w:rPr>
        <w:t xml:space="preserve">Sieve Analysis:</w:t>
      </w:r>
      <w:r>
        <w:t xml:space="preserve"> </w:t>
      </w:r>
      <w:r>
        <w:t xml:space="preserve">Aggregates sourced from quarries within the Greater</w:t>
      </w:r>
      <w:r>
        <w:t xml:space="preserve"> </w:t>
      </w:r>
      <w:r>
        <w:rPr>
          <w:bCs/>
          <w:b/>
        </w:rPr>
        <w:t xml:space="preserve">Australia Sydney</w:t>
      </w:r>
      <w:r>
        <w:t xml:space="preserve"> </w:t>
      </w:r>
      <w:r>
        <w:t xml:space="preserve">metropolitan area were subjected to sieve analysis to determine gradation and fineness modulus.</w:t>
      </w:r>
    </w:p>
    <w:bookmarkEnd w:id="21"/>
    <w:bookmarkStart w:id="23" w:name="results-and-data-analysis"/>
    <w:p>
      <w:pPr>
        <w:pStyle w:val="Heading2"/>
      </w:pPr>
      <w:r>
        <w:t xml:space="preserve">3. Results and Data Analysis</w:t>
      </w:r>
    </w:p>
    <w:bookmarkStart w:id="22" w:name="Xa6514315a471a49423df82762a83ce8882b853f"/>
    <w:p>
      <w:pPr>
        <w:pStyle w:val="Heading3"/>
      </w:pPr>
      <w:r>
        <w:t xml:space="preserve">3.1 Geotechnical Findings in Australia Sydney Context</w:t>
      </w:r>
    </w:p>
    <w:p>
      <w:pPr>
        <w:pStyle w:val="FirstParagraph"/>
      </w:pPr>
      <w:r>
        <w:t xml:space="preserve">The subsurface investigation revealed a complex stratigraphy typical of</w:t>
      </w:r>
      <w:r>
        <w:t xml:space="preserve"> </w:t>
      </w:r>
      <w:r>
        <w:rPr>
          <w:bCs/>
          <w:b/>
        </w:rPr>
        <w:t xml:space="preserve">Australia Sydney</w:t>
      </w:r>
      <w:r>
        <w:t xml:space="preserve">. The upper layer consisted of approximately 2 to 4 meters of fill material, followed by stiff to very stiff banded clay, which transitions into Hawkesbury Sandstone at depths greater than 5 meters. This sandstone formation provides excellent bearing capacity but presents challenges regarding excavation and rock anchoring.</w:t>
      </w:r>
    </w:p>
    <w:p>
      <w:pPr>
        <w:pStyle w:val="BodyText"/>
      </w:pPr>
      <w:r>
        <w:rPr>
          <w:bCs/>
          <w:b/>
        </w:rPr>
        <w:t xml:space="preserve">Table 1: Soil Profile Summary (Australia Sydney Site)</w:t>
      </w:r>
    </w:p>
    <w:p>
      <w:pPr>
        <w:pStyle w:val="BodyText"/>
      </w:pPr>
      <w:r>
        <w:t xml:space="preserve">8.</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Sydney Infrastructure Analysis</dc:title>
  <dc:creator/>
  <dc:language>en</dc:language>
  <cp:keywords/>
  <dcterms:created xsi:type="dcterms:W3CDTF">2026-07-29T01:00:54Z</dcterms:created>
  <dcterms:modified xsi:type="dcterms:W3CDTF">2026-07-29T01:00:54Z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