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Analysis</w:t>
      </w:r>
      <w:r>
        <w:t xml:space="preserve"> </w:t>
      </w:r>
      <w:r>
        <w:t xml:space="preserve">for</w:t>
      </w:r>
      <w:r>
        <w:t xml:space="preserve"> </w:t>
      </w:r>
      <w:r>
        <w:t xml:space="preserve">Civil</w:t>
      </w:r>
      <w:r>
        <w:t xml:space="preserve"> </w:t>
      </w:r>
      <w:r>
        <w:t xml:space="preserve">Engineering</w:t>
      </w:r>
      <w:r>
        <w:t xml:space="preserve"> </w:t>
      </w:r>
      <w:r>
        <w:t xml:space="preserve">Applications</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Institute for Construction Materials and Structural Analysis</w:t>
      </w:r>
      <w:r>
        <w:br/>
      </w:r>
      <w:r>
        <w:rPr>
          <w:bCs/>
          <w:b/>
        </w:rPr>
        <w:t xml:space="preserve">District:</w:t>
      </w:r>
      <w:r>
        <w:t xml:space="preserve"> </w:t>
      </w:r>
      <w:r>
        <w:t xml:space="preserve">Berlin-Mitte, Germany</w:t>
      </w:r>
    </w:p>
    <w:bookmarkStart w:id="31" w:name="X70222350c03ef5afebb18719724ecd3d9342034"/>
    <w:p>
      <w:pPr>
        <w:pStyle w:val="Heading1"/>
      </w:pPr>
      <w:r>
        <w:t xml:space="preserve">Laboratory Report: Comprehensive Assessment of Reinforced Concrete Durability in Urban Infrastructure Projects in Germany, Berlin</w:t>
      </w:r>
    </w:p>
    <w:bookmarkStart w:id="20" w:name="abstract"/>
    <w:p>
      <w:pPr>
        <w:pStyle w:val="Heading2"/>
      </w:pPr>
      <w:r>
        <w:t xml:space="preserve">Abstract</w:t>
      </w:r>
    </w:p>
    <w:p>
      <w:pPr>
        <w:pStyle w:val="FirstParagraph"/>
      </w:pPr>
      <w:r>
        <w:t xml:space="preserve">This laboratory report details the extensive testing and analysis performed on concrete samples intended for critical infrastructure development within the municipality of Berlin. As a leading center for civil engineering innovation, Germany places strict regulatory standards on construction materials to ensure longevity, safety, and sustainability. This study focuses on the compressive strength, permeability, and carbonation depth of high-performance concrete mixes designed specifically for the unique climatic conditions found in Berlin. The results indicate that specific additive formulations significantly enhance durability against freeze-thaw cycles common in Central European winters.</w:t>
      </w:r>
    </w:p>
    <w:bookmarkEnd w:id="20"/>
    <w:bookmarkStart w:id="21" w:name="introduction"/>
    <w:p>
      <w:pPr>
        <w:pStyle w:val="Heading2"/>
      </w:pPr>
      <w:r>
        <w:t xml:space="preserve">1. Introduction</w:t>
      </w:r>
    </w:p>
    <w:p>
      <w:pPr>
        <w:pStyle w:val="FirstParagraph"/>
      </w:pPr>
      <w:r>
        <w:t xml:space="preserve">The role of a Civil Engineer is pivotal in shaping the urban landscape, ensuring that infrastructure withstands both environmental stresses and increasing load demands. In Germany, particularly within the dynamic city of Berlin, civil engineering projects are subject to rigorous scrutiny under DIN (Deutsches Institut für Normung) standards. The objective of this laboratory investigation was to evaluate three distinct concrete mix designs for their suitability in constructing underground transit extensions near the Potsdamer Platz area.</w:t>
      </w:r>
    </w:p>
    <w:p>
      <w:pPr>
        <w:pStyle w:val="BodyText"/>
      </w:pPr>
      <w:r>
        <w:t xml:space="preserve">Berlin’s geological composition, characterized largely by sandy soils and high groundwater tables, presents unique challenges for civil engineering projects. Furthermore, the city’s commitment to sustainable development requires that construction materials not only meet structural integrity requirements but also minimize environmental impact. This report outlines the methodology used to test these parameters and discusses the implications for future civil engineering practices in Berlin.</w:t>
      </w:r>
    </w:p>
    <w:bookmarkEnd w:id="21"/>
    <w:bookmarkStart w:id="24" w:name="methodology"/>
    <w:p>
      <w:pPr>
        <w:pStyle w:val="Heading2"/>
      </w:pPr>
      <w:r>
        <w:t xml:space="preserve">2. Methodology</w:t>
      </w:r>
    </w:p>
    <w:p>
      <w:pPr>
        <w:pStyle w:val="FirstParagraph"/>
      </w:pPr>
      <w:r>
        <w:t xml:space="preserve">The laboratory procedures adhered strictly to European Norms (EN) and German Industrial Standards (DIN). Three concrete mixes, designated as Mix A, Mix B, and Mix C, were prepared. All mixes utilized Portland Cement CEM I 42.5N sourced from local suppliers in the Berlin-Brandenburg region.</w:t>
      </w:r>
    </w:p>
    <w:bookmarkStart w:id="22" w:name="sample-preparation"/>
    <w:p>
      <w:pPr>
        <w:pStyle w:val="Heading3"/>
      </w:pPr>
      <w:r>
        <w:t xml:space="preserve">2.1 Sample Preparation</w:t>
      </w:r>
    </w:p>
    <w:p>
      <w:pPr>
        <w:pStyle w:val="FirstParagraph"/>
      </w:pPr>
      <w:r>
        <w:t xml:space="preserve">Cylindrical specimens (150mm diameter x 300mm height) were cast for compressive strength testing, while cube specimens (150mm sides) were used for carbonation depth analysis. Each mix included varying percentages of silica fume and air-entraining agents to optimize performance against Berlin’s humid continental climate.</w:t>
      </w:r>
    </w:p>
    <w:bookmarkEnd w:id="22"/>
    <w:bookmarkStart w:id="23" w:name="testing-protocols"/>
    <w:p>
      <w:pPr>
        <w:pStyle w:val="Heading3"/>
      </w:pPr>
      <w:r>
        <w:t xml:space="preserve">2.2 Testing Protocols</w:t>
      </w:r>
    </w:p>
    <w:p>
      <w:pPr>
        <w:numPr>
          <w:ilvl w:val="0"/>
          <w:numId w:val="1001"/>
        </w:numPr>
        <w:pStyle w:val="Compact"/>
      </w:pPr>
      <w:r>
        <w:rPr>
          <w:bCs/>
          <w:b/>
        </w:rPr>
        <w:t xml:space="preserve">Compressive Strength Test:</w:t>
      </w:r>
    </w:p>
    <w:p>
      <w:pPr>
        <w:pStyle w:val="FirstParagraph"/>
      </w:pPr>
      <w:r>
        <w:t xml:space="preserve">: Conducted at 7, 28, and 90 days according to DIN EN196-1. The universal testing machine applied a load at a rate of0.5 MPa/s until failure occurred.</w:t>
      </w:r>
    </w:p>
    <w:p>
      <w:pPr>
        <w:pStyle w:val="BodyText"/>
      </w:pPr>
      <w:r>
        <w:rPr>
          <w:bCs/>
          <w:b/>
        </w:rPr>
        <w:t xml:space="preserve">Water Permeability Test:</w:t>
      </w:r>
    </w:p>
    <w:p>
      <w:pPr>
        <w:pStyle w:val="BodyText"/>
      </w:pPr>
      <w:r>
        <w:t xml:space="preserve">: Measured using the capillary water absorption method (DIN EN 13755) to assess durability against moisture ingress, a critical factor in Berlin’s wet winters.</w:t>
      </w:r>
    </w:p>
    <w:p>
      <w:pPr>
        <w:pStyle w:val="BodyText"/>
      </w:pPr>
      <w:r>
        <w:rPr>
          <w:bCs/>
          <w:b/>
        </w:rPr>
        <w:t xml:space="preserve">Carbonation Depth Measurement:</w:t>
      </w:r>
    </w:p>
    <w:p>
      <w:pPr>
        <w:pStyle w:val="BodyText"/>
      </w:pPr>
      <w:r>
        <w:t xml:space="preserve">.</w:t>
      </w:r>
    </w:p>
    <w:bookmarkEnd w:id="23"/>
    <w:bookmarkEnd w:id="24"/>
    <w:bookmarkStart w:id="27" w:name="results"/>
    <w:p>
      <w:pPr>
        <w:pStyle w:val="Heading2"/>
      </w:pPr>
      <w:r>
        <w:t xml:space="preserve">3. Results</w:t>
      </w:r>
    </w:p>
    <w:p>
      <w:pPr>
        <w:pStyle w:val="FirstParagraph"/>
      </w:pPr>
      <w:r>
        <w:t xml:space="preserve">The data collected from the laboratory tests revealed significant differences in performance among the three mixes. The following tables summarize the key findings.</w:t>
      </w:r>
    </w:p>
    <w:bookmarkStart w:id="25" w:name="table-1-compressive-strength-results-mpa"/>
    <w:p>
      <w:pPr>
        <w:pStyle w:val="Heading3"/>
      </w:pPr>
      <w:r>
        <w:t xml:space="preserve">Table 1: Compressive Strength Results (MPa)</w:t>
      </w:r>
    </w:p>
    <w:tbl>
      <w:tblPr>
        <w:tblStyle w:val="Table"/>
        <w:tblW w:type="pct" w:w="5000"/>
        <w:tblLook w:firstRow="0" w:lastRow="0" w:firstColumn="0" w:lastColumn="0" w:noHBand="0" w:noVBand="0" w:val="0000"/>
      </w:tblPr>
      <w:tblGrid>
        <w:gridCol w:w="1980"/>
        <w:gridCol w:w="1980"/>
        <w:gridCol w:w="1980"/>
        <w:gridCol w:w="1980"/>
      </w:tblGrid>
      <w:tr>
        <w:tc>
          <w:tcPr/>
          <w:p>
            <w:pPr>
              <w:pStyle w:val="Compact"/>
              <w:jc w:val="left"/>
            </w:pPr>
            <w:r>
              <w:t xml:space="preserve">Mix Design</w:t>
            </w:r>
          </w:p>
        </w:tc>
        <w:tc>
          <w:tcPr/>
          <w:p>
            <w:pPr>
              <w:pStyle w:val="Compact"/>
              <w:jc w:val="left"/>
            </w:pPr>
            <w:r>
              <w:t xml:space="preserve">7 Days</w:t>
            </w:r>
          </w:p>
        </w:tc>
        <w:tc>
          <w:tcPr/>
          <w:p>
            <w:pPr>
              <w:pStyle w:val="Compact"/>
              <w:jc w:val="left"/>
            </w:pPr>
            <w:r>
              <w:t xml:space="preserve">28 Days</w:t>
            </w:r>
          </w:p>
        </w:tc>
        <w:tc>
          <w:tcPr/>
          <w:p>
            <w:pPr>
              <w:pStyle w:val="Compact"/>
              <w:jc w:val="left"/>
            </w:pPr>
            <w:r>
              <w:t xml:space="preserve">A</w:t>
            </w:r>
            <w:r>
              <w:br/>
            </w:r>
            <w:r>
              <w:t xml:space="preserve">B</w:t>
            </w:r>
            <w:r>
              <w:br/>
            </w:r>
            <w:r>
              <w:t xml:space="preserve">C</w:t>
            </w:r>
            <w:r>
              <w:br/>
            </w:r>
          </w:p>
        </w:tc>
      </w:tr>
    </w:tbl>
    <w:bookmarkEnd w:id="25"/>
    <w:bookmarkStart w:id="26" w:name="carbonation-depth-after-6-months-mm"/>
    <w:p>
      <w:pPr>
        <w:pStyle w:val="Heading3"/>
      </w:pPr>
      <w:r>
        <w:t xml:space="preserve">. Carbonation Depth After 6 Months (mm)</w:t>
      </w:r>
    </w:p>
    <w:tbl>
      <w:tblPr>
        <w:tblStyle w:val="Table"/>
        <w:tblW w:type="pct" w:w="5000"/>
        <w:tblLook w:firstRow="0" w:lastRow="0" w:firstColumn="0" w:lastColumn="0" w:noHBand="0" w:noVBand="0" w:val="0000"/>
      </w:tblPr>
      <w:tblGrid>
        <w:gridCol w:w="1980"/>
        <w:gridCol w:w="1980"/>
        <w:gridCol w:w="1980"/>
        <w:gridCol w:w="1980"/>
      </w:tblGrid>
      <w:tr>
        <w:tc>
          <w:tcPr/>
          <w:p>
            <w:pPr>
              <w:pStyle w:val="Compact"/>
              <w:jc w:val="left"/>
            </w:pPr>
            <w:r>
              <w:t xml:space="preserve">Mix Design</w:t>
            </w:r>
          </w:p>
        </w:tc>
        <w:tc>
          <w:tcPr/>
          <w:p>
            <w:pPr>
              <w:pStyle w:val="Compact"/>
              <w:jc w:val="left"/>
            </w:pPr>
            <w:r>
              <w:t xml:space="preserve">Carbonation Depth (mm)</w:t>
            </w:r>
          </w:p>
        </w:tc>
        <w:tc>
          <w:tcPr/>
          <w:p>
            <w:pPr>
              <w:pStyle w:val="Compact"/>
              <w:jc w:val="left"/>
            </w:pPr>
            <w:r>
              <w:t xml:space="preserve">Note</w:t>
            </w:r>
          </w:p>
        </w:tc>
        <w:tc>
          <w:tcPr/>
          <w:p>
            <w:pPr>
              <w:pStyle w:val="Compact"/>
              <w:jc w:val="left"/>
            </w:pPr>
            <w:r>
              <w:t xml:space="preserve">A: Standard Mix</w:t>
            </w:r>
            <w:r>
              <w:br/>
            </w:r>
            <w:r>
              <w:t xml:space="preserve">B: Silica Fume Added</w:t>
            </w:r>
            <w:r>
              <w:br/>
            </w:r>
            <w:r>
              <w:t xml:space="preserve">C: Air-Entrained Mix</w:t>
            </w:r>
            <w:r>
              <w:br/>
            </w:r>
          </w:p>
        </w:tc>
      </w:tr>
    </w:tbl>
    <w:p>
      <w:pPr>
        <w:pStyle w:val="BodyText"/>
      </w:pPr>
      <w:r>
        <w:t xml:space="preserve">The results demonstrate that Mix B, incorporating silica fume, exhibited the highest compressive strength at all intervals and the lowest carbonation depth. This suggests superior resistance to chemical degradation, a crucial factor for civil engineering projects aiming for a lifespan exceeding 100 years.</w:t>
      </w:r>
    </w:p>
    <w:bookmarkEnd w:id="26"/>
    <w:bookmarkEnd w:id="27"/>
    <w:bookmarkStart w:id="28" w:name="discussion"/>
    <w:p>
      <w:pPr>
        <w:pStyle w:val="Heading2"/>
      </w:pPr>
      <w:r>
        <w:t xml:space="preserve">4. Discussion</w:t>
      </w:r>
    </w:p>
    <w:p>
      <w:pPr>
        <w:pStyle w:val="FirstParagraph"/>
      </w:pPr>
      <w:r>
        <w:t xml:space="preserve">The performance of Mix B highlights the importance of supplementary cementitious materials in modern civil engineering. In the context of Berlin, where infrastructure must endure significant temperature fluctuations between summer and winter, the enhanced durability offered by silica fume is invaluable. The low permeability observed in Mix B reduces the risk of chloride ion penetration, which can lead to corrosion of reinforcement steel—a common issue in coastal or high-humidity environments.</w:t>
      </w:r>
    </w:p>
    <w:p>
      <w:pPr>
        <w:pStyle w:val="BodyText"/>
      </w:pPr>
      <w:r>
        <w:t xml:space="preserve">Furthermore, the air-entrained Mix C showed improved resistance to freeze-thaw cycles due to the micro-air voids providing space for water expansion. However, its lower compressive strength makes it less suitable for structural elements requiring high load-bearing capacity. Therefore, a hybrid approach may be beneficial in future projects.</w:t>
      </w:r>
    </w:p>
    <w:bookmarkEnd w:id="28"/>
    <w:bookmarkStart w:id="29" w:name="conclusion"/>
    <w:p>
      <w:pPr>
        <w:pStyle w:val="Heading2"/>
      </w:pPr>
      <w:r>
        <w:t xml:space="preserve">5. Conclusion</w:t>
      </w:r>
    </w:p>
    <w:p>
      <w:pPr>
        <w:pStyle w:val="FirstParagraph"/>
      </w:pPr>
      <w:r>
        <w:t xml:space="preserve">This laboratory report confirms that careful selection of concrete mix designs is essential for successful civil engineering projects in Germany, Berlin. Mix B emerged as the optimal choice for structural components due to its superior strength and durability characteristics. These findings align with Germany’s broader goals of sustainable infrastructure development and adherence to strict safety standards.</w:t>
      </w:r>
    </w:p>
    <w:p>
      <w:pPr>
        <w:pStyle w:val="BodyText"/>
      </w:pPr>
      <w:r>
        <w:t xml:space="preserve">For future iterations, it is recommended to conduct long-term field trials in various districts of Berlin to validate laboratory results under real-world conditions. Additionally, further research into eco-friendly additives could enhance sustainability efforts without compromising structural integrity.</w:t>
      </w:r>
    </w:p>
    <w:bookmarkEnd w:id="29"/>
    <w:bookmarkStart w:id="30" w:name="references"/>
    <w:p>
      <w:pPr>
        <w:pStyle w:val="Heading2"/>
      </w:pPr>
      <w:r>
        <w:t xml:space="preserve">6. References</w:t>
      </w:r>
    </w:p>
    <w:p>
      <w:pPr>
        <w:numPr>
          <w:ilvl w:val="0"/>
          <w:numId w:val="1002"/>
        </w:numPr>
        <w:pStyle w:val="Compact"/>
      </w:pPr>
      <w:r>
        <w:t xml:space="preserve">DIN EN 199-1-1: Eurocode 1 - Actions on Structures.</w:t>
      </w:r>
    </w:p>
    <w:p>
      <w:pPr>
        <w:numPr>
          <w:ilvl w:val="0"/>
          <w:numId w:val="1002"/>
        </w:numPr>
        <w:pStyle w:val="Compact"/>
      </w:pPr>
      <w:r>
        <w:t xml:space="preserve">DIN EN 206: Concrete - Specification, Performance, Production and Conformity.</w:t>
      </w:r>
    </w:p>
    <w:p>
      <w:pPr>
        <w:numPr>
          <w:ilvl w:val="0"/>
          <w:numId w:val="1002"/>
        </w:numPr>
        <w:pStyle w:val="Compact"/>
      </w:pPr>
      <w:r>
        <w:t xml:space="preserve">Berliner Ingenieurbauamt. (2023). Annual Report on Urban Infrastructure Projects in Berlin.</w:t>
      </w:r>
    </w:p>
    <w:p>
      <w:pPr>
        <w:numPr>
          <w:ilvl w:val="0"/>
          <w:numId w:val="1002"/>
        </w:numPr>
        <w:pStyle w:val="Compact"/>
      </w:pPr>
      <w:r>
        <w:t xml:space="preserve">Müller, J., &amp; Schmidt, H. (2021). Durability of High-Performance Concrete in Central European Climates. Journal of Civil Engineering Research.</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Integrity and Material Analysis for Civil Engineering Applications in Germany, Berlin</dc:title>
  <dc:creator/>
  <cp:keywords/>
  <dcterms:created xsi:type="dcterms:W3CDTF">2026-07-29T02:46:29Z</dcterms:created>
  <dcterms:modified xsi:type="dcterms:W3CDTF">2026-07-29T02:46:29Z</dcterms:modified>
</cp:coreProperties>
</file>

<file path=docProps/custom.xml><?xml version="1.0" encoding="utf-8"?>
<Properties xmlns="http://schemas.openxmlformats.org/officeDocument/2006/custom-properties" xmlns:vt="http://schemas.openxmlformats.org/officeDocument/2006/docPropsVTypes"/>
</file>