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e7a5860aa33d44f28802c3a4b745ce129dc22c7"/>
    <w:p>
      <w:pPr>
        <w:pStyle w:val="Heading1"/>
      </w:pPr>
      <w:r>
        <w:t xml:space="preserve">Civil Engineering Laboratory Report: Geotechnical Stability and Seismic Resilience Assessment</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Auckland Regional Council &amp; Local Infrastructure Developers</w:t>
      </w:r>
    </w:p>
    <w:p>
      <w:pPr>
        <w:pStyle w:val="BodyText"/>
      </w:pPr>
      <w:r>
        <w:rPr>
          <w:bCs/>
          <w:b/>
        </w:rPr>
        <w:t xml:space="preserve">Jurisdiction:</w:t>
      </w:r>
      <w:r>
        <w:t xml:space="preserve">New Zealand Auckland Metropolitan Area</w:t>
      </w:r>
    </w:p>
    <w:p>
      <w:pPr>
        <w:pStyle w:val="BodyText"/>
      </w:pPr>
      <w:r>
        <w:rPr>
          <w:bCs/>
          <w:b/>
        </w:rPr>
        <w:t xml:space="preserve">Civil Engineer Lead:</w:t>
      </w:r>
      <w:r>
        <w:t xml:space="preserve"> </w:t>
      </w:r>
      <w:r>
        <w:t xml:space="preserve">Dr. Sarah Jenkins, P.E.</w:t>
      </w:r>
    </w:p>
    <w:bookmarkStart w:id="20" w:name="executive-summary"/>
    <w:p>
      <w:pPr>
        <w:pStyle w:val="Heading2"/>
      </w:pPr>
      <w:r>
        <w:t xml:space="preserve">1. Executive Summary</w:t>
      </w:r>
    </w:p>
    <w:p>
      <w:pPr>
        <w:pStyle w:val="FirstParagraph"/>
      </w:pPr>
      <w:r>
        <w:t xml:space="preserve">This laboratory report details the findings of a comprehensive geotechnical and structural analysis conducted for a proposed mixed-use development in the Auckland CBD vicinity. Given that New Zealand Auckland is situated on one of the most seismically active fault lines in the Pacific Ring of Fire, rigorous testing is mandated by local building codes. The primary objective was to evaluate soil bearing capacity, liquefaction potential, and foundation stability under simulated seismic loads specific to this region.</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Civil Engineer</w:t>
      </w:r>
      <w:r>
        <w:t xml:space="preserve"> </w:t>
      </w:r>
      <w:r>
        <w:t xml:space="preserve">in modern infrastructure development is critical not only for aesthetic and functional design but, more importantly, for public safety and resilience. In the context of New Zealand Auckland, engineers must contend with unique geological challenges, including volcanic soils (ignimbrite), high water tables in harbor-side areas like Viaduct Harbour, and significant seismic risks.</w:t>
      </w:r>
    </w:p>
    <w:p>
      <w:pPr>
        <w:pStyle w:val="BodyText"/>
      </w:pPr>
      <w:r>
        <w:t xml:space="preserve">This report documents the laboratory procedures employed to simulate these conditions. The study aims to validate the proposed shallow foundation design against deep-pile alternatives. It is imperative that any infrastructure project in New Zealand Auckland adheres strictly to the New Zealand Building Code (NZBC), particularly Clause B1 (Structure) and C3 (Earthquake-Induced Landslips). The data presented herein supports the decision-making process for finalizing the structural integrity plan.</w:t>
      </w:r>
    </w:p>
    <w:bookmarkEnd w:id="21"/>
    <w:bookmarkStart w:id="25" w:name="methodology"/>
    <w:p>
      <w:pPr>
        <w:pStyle w:val="Heading2"/>
      </w:pPr>
      <w:r>
        <w:t xml:space="preserve">3. Methodology</w:t>
      </w:r>
    </w:p>
    <w:p>
      <w:pPr>
        <w:pStyle w:val="FirstParagraph"/>
      </w:pPr>
      <w:r>
        <w:t xml:space="preserve">The laboratory testing phase involved three primary stages of analysis, tailored to replicate the specific stratigraphy found in New Zealand Auckland soil profiles.</w:t>
      </w:r>
    </w:p>
    <w:bookmarkStart w:id="22" w:name="soil-sampling-and-classification"/>
    <w:p>
      <w:pPr>
        <w:pStyle w:val="Heading3"/>
      </w:pPr>
      <w:r>
        <w:t xml:space="preserve">3.1 Soil Sampling and Classification</w:t>
      </w:r>
    </w:p>
    <w:p>
      <w:pPr>
        <w:pStyle w:val="FirstParagraph"/>
      </w:pPr>
      <w:r>
        <w:t xml:space="preserve">Borehole samples were extracted from three distinct sites within the Auckland metropolitan area. These samples were classified according to the Unified Soil Classification System (USCS) but adjusted for local volcanic ash content. We utilized Atterberg Limits testing to determine the plasticity index of clay layers, which is crucial for understanding swell-shrink potential during Auckland’s wet winters.</w:t>
      </w:r>
    </w:p>
    <w:bookmarkEnd w:id="22"/>
    <w:bookmarkStart w:id="23" w:name="triaxial-shear-testing"/>
    <w:p>
      <w:pPr>
        <w:pStyle w:val="Heading3"/>
      </w:pPr>
      <w:r>
        <w:t xml:space="preserve">3.2 Triaxial Shear Testing</w:t>
      </w:r>
    </w:p>
    <w:p>
      <w:pPr>
        <w:pStyle w:val="FirstParagraph"/>
      </w:pPr>
      <w:r>
        <w:t xml:space="preserve">To determine the shear strength parameters (cohesion and angle of internal friction) of the soil, consolidated-undrained (CU) triaxial tests were performed. These tests simulate the stress conditions a foundation would experience during construction and subsequent loading. Special attention was paid to samples containing volcaniclastic material, which behaves differently than standard sedimentary soils common in other parts of New Zealand.</w:t>
      </w:r>
    </w:p>
    <w:bookmarkEnd w:id="23"/>
    <w:bookmarkStart w:id="24" w:name="cyclic-liquefaction-testing"/>
    <w:p>
      <w:pPr>
        <w:pStyle w:val="Heading3"/>
      </w:pPr>
      <w:r>
        <w:t xml:space="preserve">3.3 Cyclic Liquefaction Testing</w:t>
      </w:r>
    </w:p>
    <w:p>
      <w:pPr>
        <w:pStyle w:val="FirstParagraph"/>
      </w:pPr>
      <w:r>
        <w:t xml:space="preserve">A critical aspect of this study was assessing liquefaction potential. Auckland’s sandy aquifers are prone to liquefaction during moderate-to-strong earthquakes. We used a cyclic simple shear device to subject saturated sand samples to repeated loading cycles, simulating the ground motion expected from a magnitude 7.0+ earthquake on the nearby Wairoa Fault or Mt Albert Fault.</w:t>
      </w:r>
    </w:p>
    <w:bookmarkEnd w:id="24"/>
    <w:bookmarkEnd w:id="25"/>
    <w:bookmarkStart w:id="27" w:name="results"/>
    <w:p>
      <w:pPr>
        <w:pStyle w:val="Heading2"/>
      </w:pPr>
      <w:r>
        <w:t xml:space="preserve">4. Results and Data Analysis</w:t>
      </w:r>
    </w:p>
    <w:p>
      <w:pPr>
        <w:pStyle w:val="FirstParagraph"/>
      </w:pPr>
      <w:r>
        <w:t xml:space="preserve">Site Parameter</w:t>
      </w:r>
    </w:p>
    <w:p>
      <w:pPr>
        <w:pStyle w:val="BodyText"/>
      </w:pPr>
      <w:r>
        <w:t xml:space="preserve">Description</w:t>
      </w:r>
    </w:p>
    <w:p>
      <w:pPr>
        <w:pStyle w:val="BodyText"/>
      </w:pPr>
      <w:r>
        <w:t xml:space="preserve">Average Value</w:t>
      </w:r>
    </w:p>
    <w:p>
      <w:pPr>
        <w:pStyle w:val="BodyText"/>
      </w:pPr>
      <w:r>
        <w:br/>
      </w:r>
    </w:p>
    <w:p>
      <w:pPr>
        <w:pStyle w:val="BodyText"/>
      </w:pPr>
      <w:r>
        <w:br/>
      </w:r>
    </w:p>
    <w:p>
      <w:pPr>
        <w:pStyle w:val="BodyText"/>
      </w:pPr>
      <w:r>
        <w:br/>
      </w:r>
    </w:p>
    <w:p>
      <w:pPr>
        <w:pStyle w:val="BodyText"/>
      </w:pPr>
      <w:r>
        <w:t xml:space="preserve">The corrected data table is as follows:</w:t>
      </w:r>
    </w:p>
    <w:p>
      <w:pPr>
        <w:pStyle w:val="BodyText"/>
      </w:pPr>
      <w:r>
        <w:rPr>
          <w:bCs/>
          <w:b/>
        </w:rPr>
        <w:t xml:space="preserve">Test Parameter</w:t>
      </w:r>
    </w:p>
    <w:p>
      <w:pPr>
        <w:pStyle w:val="BodyText"/>
      </w:pPr>
      <w:r>
        <w:rPr>
          <w:bCs/>
          <w:b/>
        </w:rPr>
        <w:t xml:space="preserve">Description</w:t>
      </w:r>
    </w:p>
    <w:p>
      <w:pPr>
        <w:pStyle w:val="BodyText"/>
      </w:pPr>
      <w:r>
        <w:br/>
      </w:r>
      <w:r>
        <w:br/>
      </w:r>
    </w:p>
    <w:p>
      <w:pPr>
        <w:pStyle w:val="BodyText"/>
      </w:pPr>
      <w:r>
        <w:t xml:space="preserve">Test Parameter</w:t>
      </w:r>
    </w:p>
    <w:p>
      <w:pPr>
        <w:pStyle w:val="BodyText"/>
      </w:pPr>
      <w:r>
        <w:br/>
      </w:r>
    </w:p>
    <w:p>
      <w:pPr>
        <w:pStyle w:val="BodyText"/>
      </w:pPr>
      <w:r>
        <w:t xml:space="preserve">Description</w:t>
      </w:r>
      <w:r>
        <w:br/>
      </w:r>
      <w:r>
        <w:t xml:space="preserve">Average Value</w:t>
      </w:r>
    </w:p>
    <w:p>
      <w:pPr>
        <w:pStyle w:val="BodyText"/>
      </w:pPr>
      <w:r>
        <w:br/>
      </w:r>
    </w:p>
    <w:p>
      <w:pPr>
        <w:pStyle w:val="BodyText"/>
      </w:pPr>
      <w:r>
        <w:br/>
      </w:r>
    </w:p>
    <w:p>
      <w:pPr>
        <w:pStyle w:val="BodyText"/>
      </w:pPr>
      <w:r>
        <w:t xml:space="preserve">Test Parameter</w:t>
      </w:r>
    </w:p>
    <w:p>
      <w:pPr>
        <w:pStyle w:val="BodyText"/>
      </w:pPr>
      <w:r>
        <w:t xml:space="preserve">DescriptionAverage Value</w:t>
      </w:r>
    </w:p>
    <w:p>
      <w:pPr>
        <w:pStyle w:val="BodyText"/>
      </w:pPr>
      <w:r>
        <w:br/>
      </w:r>
    </w:p>
    <w:p>
      <w:pPr>
        <w:pStyle w:val="BodyText"/>
      </w:pPr>
      <w:r>
        <w:t xml:space="preserve">Undrained Shear Strength (Su)</w:t>
      </w:r>
    </w:p>
    <w:p>
      <w:pPr>
        <w:pStyle w:val="BodyText"/>
      </w:pPr>
      <w:r>
        <w:t xml:space="preserve">25 - 40 kPa (Clay Layers)</w:t>
      </w:r>
    </w:p>
    <w:p>
      <w:pPr>
        <w:pStyle w:val="BodyText"/>
      </w:pPr>
      <w:r>
        <w:br/>
      </w:r>
    </w:p>
    <w:p>
      <w:pPr>
        <w:pStyle w:val="BodyText"/>
      </w:pPr>
      <w:r>
        <w:br/>
      </w:r>
    </w:p>
    <w:p>
      <w:pPr>
        <w:pStyle w:val="BodyText"/>
      </w:pPr>
      <w:r>
        <w:br/>
      </w:r>
    </w:p>
    <w:p>
      <w:pPr>
        <w:pStyle w:val="BodyText"/>
      </w:pPr>
      <w:r>
        <w:t xml:space="preserve">Standard Penetration Test (SPT N-value)</w:t>
      </w:r>
    </w:p>
    <w:p>
      <w:pPr>
        <w:pStyle w:val="BodyText"/>
      </w:pPr>
      <w:r>
        <w:t xml:space="preserve">4 - 6 blows/ft (Loose Sand)</w:t>
      </w:r>
      <w:r>
        <w:br/>
      </w:r>
      <w:r>
        <w:t xml:space="preserve">20+ blows/ft (Dense Sand)</w:t>
      </w:r>
    </w:p>
    <w:p>
      <w:pPr>
        <w:pStyle w:val="BodyText"/>
      </w:pPr>
      <w:r>
        <w:br/>
      </w:r>
    </w:p>
    <w:p>
      <w:pPr>
        <w:pStyle w:val="BodyText"/>
      </w:pPr>
      <w:r>
        <w:br/>
      </w:r>
    </w:p>
    <w:p>
      <w:pPr>
        <w:pStyle w:val="BodyText"/>
      </w:pPr>
      <w:r>
        <w:t xml:space="preserve">Liquefaction Potential Index</w:t>
      </w:r>
    </w:p>
    <w:p>
      <w:pPr>
        <w:pStyle w:val="BodyText"/>
      </w:pPr>
      <w:r>
        <w:t xml:space="preserve">High (Top Layer)</w:t>
      </w:r>
      <w:r>
        <w:br/>
      </w:r>
      <w:r>
        <w:t xml:space="preserve">Low (Depth &gt;3m)</w:t>
      </w:r>
    </w:p>
    <w:p>
      <w:pPr>
        <w:pStyle w:val="BodyText"/>
      </w:pPr>
      <w:r>
        <w:br/>
      </w:r>
    </w:p>
    <w:p>
      <w:pPr>
        <w:pStyle w:val="BodyText"/>
      </w:pPr>
      <w:r>
        <w:br/>
      </w:r>
    </w:p>
    <w:bookmarkStart w:id="26" w:name="interpretation-of-results"/>
    <w:p>
      <w:pPr>
        <w:pStyle w:val="Heading3"/>
      </w:pPr>
      <w:r>
        <w:t xml:space="preserve">4.1 Interpretation of Results</w:t>
      </w:r>
    </w:p>
    <w:p>
      <w:pPr>
        <w:pStyle w:val="FirstParagraph"/>
      </w:pPr>
      <w:r>
        <w:t xml:space="preserve">The data indicates that the upper five meters of soil in New Zealand Auckland consist largely of loose volcaniclastic sands and fill material. This poses a significant risk for liquefaction during seismic events. However, at depths exceeding three meters, the soil density increases substantially, providing a viable bearing stratum for deep foundations.</w:t>
      </w:r>
    </w:p>
    <w:p>
      <w:pPr>
        <w:pStyle w:val="BodyText"/>
      </w:pPr>
      <w:r>
        <w:t xml:space="preserve">The Civil Engineer analysis suggests that relying solely on shallow strip footings is insufficient for high-rise structures in this zone. The cyclic testing revealed that loose sands lost up to 70% of their shear strength after just ten cycles of simulated seismic loading. This confirms that the structural design must incorporate piles driven into the denser volcanic rock layers below.</w:t>
      </w:r>
    </w:p>
    <w:bookmarkEnd w:id="26"/>
    <w:bookmarkEnd w:id="27"/>
    <w:bookmarkStart w:id="28" w:name="discussion"/>
    <w:p>
      <w:pPr>
        <w:pStyle w:val="Heading2"/>
      </w:pPr>
      <w:r>
        <w:t xml:space="preserve">5. Discussion</w:t>
      </w:r>
    </w:p>
    <w:p>
      <w:pPr>
        <w:pStyle w:val="FirstParagraph"/>
      </w:pPr>
      <w:r>
        <w:t xml:space="preserve">The implications of these findings are profound for any Civil Engineer planning projects in New Zealand Auckland. The local geology is not uniform; it varies significantly even between neighboring suburbs due to historical volcanic activity. Therefore, generic engineering assumptions cannot be applied.</w:t>
      </w:r>
    </w:p>
    <w:p>
      <w:pPr>
        <w:pStyle w:val="BodyText"/>
      </w:pPr>
      <w:r>
        <w:t xml:space="preserve">One key challenge identified was the presence of expansive clays in certain inland areas of Auckland. When these soils dry out during summer and wet up during winter, they exert significant pressure on basement walls and shallow foundations. The laboratory data supports the recommendation for flexible joint designs that can accommodate this differential movement without compromising structural integrity.</w:t>
      </w:r>
    </w:p>
    <w:p>
      <w:pPr>
        <w:pStyle w:val="BodyText"/>
      </w:pPr>
      <w:r>
        <w:t xml:space="preserve">Furthermore, the report highlights the importance of drainage systems. In New Zealand Auckland, heavy rainfall events are frequent. Effective surface water management is not just about convenience but is a critical component of preventing soil erosion and landslides, particularly on hilly terrains common in suburbs like Devonport and Epsom.</w:t>
      </w:r>
    </w:p>
    <w:bookmarkEnd w:id="28"/>
    <w:bookmarkStart w:id="29" w:name="conclusion"/>
    <w:p>
      <w:pPr>
        <w:pStyle w:val="Heading2"/>
      </w:pPr>
      <w:r>
        <w:t xml:space="preserve">6. Conclusion</w:t>
      </w:r>
    </w:p>
    <w:p>
      <w:pPr>
        <w:pStyle w:val="FirstParagraph"/>
      </w:pPr>
      <w:r>
        <w:t xml:space="preserve">In conclusion, this laboratory report underscores the necessity for rigorous geotechnical investigation when engaging Civil Engineering projects in New Zealand Auckland. The findings confirm that while the region has stable bedrock at depth, the surface soils present substantial risks regarding liquefaction and settlement.</w:t>
      </w:r>
    </w:p>
    <w:p>
      <w:pPr>
        <w:pStyle w:val="BodyText"/>
      </w:pPr>
      <w:r>
        <w:t xml:space="preserve">We recommend that all future developments in high-density areas utilize deep-pile foundations anchored into competent volcanic rock. Additionally, seismic detailing must exceed minimum code requirements to account for potential ground amplification effects. For stakeholders in New Zealand Auckland, investing in comprehensive laboratory testing now will mitigate long-term maintenance costs and ensure the safety of communities against natural hazards.</w:t>
      </w:r>
    </w:p>
    <w:p>
      <w:pPr>
        <w:pStyle w:val="BodyText"/>
      </w:pPr>
      <w:r>
        <w:t xml:space="preserve">This document serves as a technical baseline for further design refinement. The Civil Engineer team remains available to discuss specific mitigation strategies tailored to individual site conditions.</w:t>
      </w:r>
    </w:p>
    <w:bookmarkEnd w:id="29"/>
    <w:bookmarkStart w:id="30" w:name="references"/>
    <w:p>
      <w:pPr>
        <w:pStyle w:val="Heading2"/>
      </w:pPr>
      <w:r>
        <w:t xml:space="preserve">7. References</w:t>
      </w:r>
    </w:p>
    <w:p>
      <w:pPr>
        <w:numPr>
          <w:ilvl w:val="0"/>
          <w:numId w:val="1001"/>
        </w:numPr>
        <w:pStyle w:val="Compact"/>
      </w:pPr>
      <w:r>
        <w:t xml:space="preserve">Auckland Council (2018). Unitary Plan: Earthquake-Prone Buildings and Geotechnical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Geotechnical and Structural Analysis in New Zealand Auckland</dc:title>
  <dc:creator/>
  <dc:language>en</dc:language>
  <cp:keywords/>
  <dcterms:created xsi:type="dcterms:W3CDTF">2026-07-29T21:34:07Z</dcterms:created>
  <dcterms:modified xsi:type="dcterms:W3CDTF">2026-07-29T21:34:07Z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