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Laboratory</w:t>
      </w:r>
      <w:r>
        <w:t xml:space="preserve"> </w:t>
      </w:r>
      <w:r>
        <w:t xml:space="preserve">Report:</w:t>
      </w:r>
      <w:r>
        <w:t xml:space="preserve"> </w:t>
      </w:r>
      <w:r>
        <w:t xml:space="preserve">Structural</w:t>
      </w:r>
      <w:r>
        <w:t xml:space="preserve"> </w:t>
      </w:r>
      <w:r>
        <w:t xml:space="preserve">Assessment</w:t>
      </w:r>
      <w:r>
        <w:t xml:space="preserve"> </w:t>
      </w:r>
      <w:r>
        <w:t xml:space="preserve">and</w:t>
      </w:r>
      <w:r>
        <w:t xml:space="preserve"> </w:t>
      </w:r>
      <w:r>
        <w:t xml:space="preserve">Geotechnical</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Context</w:t>
      </w:r>
    </w:p>
    <w:bookmarkStart w:id="20" w:name="civil-engineering-laboratory-report"/>
    <w:p>
      <w:pPr>
        <w:pStyle w:val="Heading1"/>
      </w:pPr>
      <w:r>
        <w:t xml:space="preserve">Civil Engineering Laboratory Report</w:t>
      </w:r>
    </w:p>
    <w:p>
      <w:pPr>
        <w:pStyle w:val="FirstParagraph"/>
      </w:pPr>
      <w:r>
        <w:rPr>
          <w:bCs/>
          <w:b/>
        </w:rPr>
        <w:t xml:space="preserve">Date:</w:t>
      </w:r>
      <w:r>
        <w:t xml:space="preserve"> </w:t>
      </w:r>
      <w:r>
        <w:t xml:space="preserve">October 24, 2023</w:t>
      </w:r>
      <w:r>
        <w:br/>
      </w:r>
      <w:r>
        <w:rPr>
          <w:bCs/>
          <w:b/>
        </w:rPr>
        <w:t xml:space="preserve">Sector:</w:t>
      </w:r>
      <w:r>
        <w:t xml:space="preserve"> </w:t>
      </w:r>
      <w:r>
        <w:t xml:space="preserve">Urban Infrastructure Development</w:t>
      </w:r>
      <w:r>
        <w:br/>
      </w:r>
      <w:r>
        <w:rPr>
          <w:bCs/>
          <w:b/>
        </w:rPr>
        <w:t xml:space="preserve">Jurisdiction:</w:t>
      </w:r>
      <w:r>
        <w:t xml:space="preserve"> </w:t>
      </w:r>
      <w:r>
        <w:t xml:space="preserve">United Kingdom London</w:t>
      </w:r>
    </w:p>
    <w:bookmarkEnd w:id="20"/>
    <w:bookmarkStart w:id="21" w:name="executive-summary"/>
    <w:p>
      <w:pPr>
        <w:pStyle w:val="Heading2"/>
      </w:pPr>
      <w:r>
        <w:t xml:space="preserve">1. Executive Summary</w:t>
      </w:r>
    </w:p>
    <w:p>
      <w:pPr>
        <w:pStyle w:val="FirstParagraph"/>
      </w:pPr>
      <w:r>
        <w:t xml:space="preserve">This laboratory report provides a comprehensive analysis of material properties and geotechnical conditions critical to civil engineering projects within the specific urban environment of</w:t>
      </w:r>
      <w:r>
        <w:t xml:space="preserve"> </w:t>
      </w:r>
      <w:r>
        <w:rPr>
          <w:bCs/>
          <w:b/>
        </w:rPr>
        <w:t xml:space="preserve">United Kingdom London</w:t>
      </w:r>
      <w:r>
        <w:t xml:space="preserve">. The primary objective is to validate the structural integrity and durability of concrete mixtures designed for high-density construction, while simultaneously assessing soil stability for deep foundation systems. As</w:t>
      </w:r>
      <w:r>
        <w:t xml:space="preserve"> </w:t>
      </w:r>
      <w:r>
        <w:rPr>
          <w:bCs/>
          <w:b/>
        </w:rPr>
        <w:t xml:space="preserve">Civil Engineer</w:t>
      </w:r>
      <w:r>
        <w:t xml:space="preserve"> </w:t>
      </w:r>
      <w:r>
        <w:t xml:space="preserve">professionals operate under strict regulatory frameworks in this region, this report adheres to British Standards (BS) and Eurocodes. The findings indicate that the proposed concrete formulation meets the required durability classes for marine and sulfate-rich environments common in London’s Thames Gateway developments, while geotechnical data confirms the necessity for pile foundations due to variable clay strata.</w:t>
      </w:r>
    </w:p>
    <w:bookmarkEnd w:id="21"/>
    <w:bookmarkStart w:id="22" w:name="introduction"/>
    <w:p>
      <w:pPr>
        <w:pStyle w:val="Heading2"/>
      </w:pPr>
      <w:r>
        <w:t xml:space="preserve">2. Introduction</w:t>
      </w:r>
    </w:p>
    <w:p>
      <w:pPr>
        <w:pStyle w:val="FirstParagraph"/>
      </w:pPr>
      <w:r>
        <w:t xml:space="preserve">The context of modern infrastructure in</w:t>
      </w:r>
      <w:r>
        <w:t xml:space="preserve"> </w:t>
      </w:r>
      <w:r>
        <w:rPr>
          <w:bCs/>
          <w:b/>
        </w:rPr>
        <w:t xml:space="preserve">United Kingdom London</w:t>
      </w:r>
      <w:r>
        <w:t xml:space="preserve"> </w:t>
      </w:r>
      <w:r>
        <w:t xml:space="preserve">presents unique challenges for civil engineering practitioners. The city’s dense urban fabric, aging underground utilities, and complex geological profile necessitate rigorous testing protocols before construction can commence. A</w:t>
      </w:r>
      <w:r>
        <w:t xml:space="preserve"> </w:t>
      </w:r>
      <w:r>
        <w:rPr>
          <w:bCs/>
          <w:b/>
        </w:rPr>
        <w:t xml:space="preserve">Civil Engineer</w:t>
      </w:r>
      <w:r>
        <w:t xml:space="preserve"> </w:t>
      </w:r>
      <w:r>
        <w:t xml:space="preserve">involved in this sector must navigate the intersection of historical preservation requirements and modern sustainability goals.</w:t>
      </w:r>
    </w:p>
    <w:p>
      <w:pPr>
        <w:pStyle w:val="BodyText"/>
      </w:pPr>
      <w:r>
        <w:t xml:space="preserve">The purpose of this laboratory investigation is twofold. First, it evaluates the compressive strength, workability, and permeability of a specialized high-performance concrete mix designed for subterranean structures. Second, it analyzes borehole samples to determine shear strength parameters and groundwater levels. These data points are essential for ensuring compliance with local planning permissions issued by the Greater London Authority (GLA) and adherence to national building regulations applicable across the</w:t>
      </w:r>
      <w:r>
        <w:t xml:space="preserve"> </w:t>
      </w:r>
      <w:r>
        <w:rPr>
          <w:bCs/>
          <w:b/>
        </w:rPr>
        <w:t xml:space="preserve">United Kingdom London</w:t>
      </w:r>
      <w:r>
        <w:t xml:space="preserve"> </w:t>
      </w:r>
      <w:r>
        <w:t xml:space="preserve">region.</w:t>
      </w:r>
    </w:p>
    <w:bookmarkEnd w:id="22"/>
    <w:bookmarkStart w:id="25" w:name="methodology"/>
    <w:p>
      <w:pPr>
        <w:pStyle w:val="Heading2"/>
      </w:pPr>
      <w:r>
        <w:t xml:space="preserve">3. Methodology</w:t>
      </w:r>
    </w:p>
    <w:p>
      <w:pPr>
        <w:pStyle w:val="FirstParagraph"/>
      </w:pPr>
      <w:r>
        <w:t xml:space="preserve">All testing procedures were conducted in accordance with relevant British Standards, including BS EN 12390 for testing hardened concrete and BS 1377 for soil investigation purposes. The laboratory environment was controlled to maintain standard temperature and humidity levels, ensuring reproducibility of results.</w:t>
      </w:r>
    </w:p>
    <w:bookmarkStart w:id="23" w:name="concrete-mix-design-and-testing"/>
    <w:p>
      <w:pPr>
        <w:pStyle w:val="Heading3"/>
      </w:pPr>
      <w:r>
        <w:t xml:space="preserve">3.1 Concrete Mix Design and Testing</w:t>
      </w:r>
    </w:p>
    <w:p>
      <w:pPr>
        <w:pStyle w:val="FirstParagraph"/>
      </w:pPr>
      <w:r>
        <w:t xml:space="preserve">A ready-mix concrete sample, designated as C40/50 with sulfate resistance (SR2), was procured from a local supplier serving the</w:t>
      </w:r>
      <w:r>
        <w:t xml:space="preserve"> </w:t>
      </w:r>
      <w:r>
        <w:rPr>
          <w:bCs/>
          <w:b/>
        </w:rPr>
        <w:t xml:space="preserve">United Kingdom London</w:t>
      </w:r>
      <w:r>
        <w:t xml:space="preserve"> </w:t>
      </w:r>
      <w:r>
        <w:t xml:space="preserve">construction sector. Tests included:</w:t>
      </w:r>
    </w:p>
    <w:p>
      <w:pPr>
        <w:numPr>
          <w:ilvl w:val="0"/>
          <w:numId w:val="1001"/>
        </w:numPr>
        <w:pStyle w:val="Compact"/>
      </w:pPr>
      <w:r>
        <w:rPr>
          <w:bCs/>
          <w:b/>
        </w:rPr>
        <w:t xml:space="preserve">Slupe Cone Test:</w:t>
      </w:r>
      <w:r>
        <w:t xml:space="preserve"> </w:t>
      </w:r>
      <w:r>
        <w:t xml:space="preserve">To determine slump and workability, ensuring the mix could be pumped through dense reinforcement cages typical in London high-rises.</w:t>
      </w:r>
    </w:p>
    <w:p>
      <w:pPr>
        <w:numPr>
          <w:ilvl w:val="0"/>
          <w:numId w:val="1001"/>
        </w:numPr>
        <w:pStyle w:val="Compact"/>
      </w:pPr>
      <w:r>
        <w:rPr>
          <w:bCs/>
          <w:b/>
        </w:rPr>
        <w:t xml:space="preserve">Air Content Measurement:</w:t>
      </w:r>
      <w:r>
        <w:t xml:space="preserve"> </w:t>
      </w:r>
      <w:r>
        <w:t xml:space="preserve">Using the pressure method to assess durability against freeze-thaw cycles, although less critical in London’s mild climate, it remains a standard quality control measure.</w:t>
      </w:r>
    </w:p>
    <w:p>
      <w:pPr>
        <w:numPr>
          <w:ilvl w:val="0"/>
          <w:numId w:val="1001"/>
        </w:numPr>
        <w:pStyle w:val="Compact"/>
      </w:pPr>
      <w:r>
        <w:rPr>
          <w:bCs/>
          <w:b/>
        </w:rPr>
        <w:t xml:space="preserve">Compressive Strength Cubes:</w:t>
      </w:r>
      <w:r>
        <w:t xml:space="preserve"> </w:t>
      </w:r>
      <w:r>
        <w:t xml:space="preserve">Six cubes (150mm) were cast and tested at 7 and 28 days. Curing took place in a water tank at 20°C ± 2°C as per BS standards.</w:t>
      </w:r>
    </w:p>
    <w:bookmarkEnd w:id="23"/>
    <w:bookmarkStart w:id="24" w:name="geotechnical-soil-sampling"/>
    <w:p>
      <w:pPr>
        <w:pStyle w:val="Heading3"/>
      </w:pPr>
      <w:r>
        <w:t xml:space="preserve">3.2 Geotechnical Soil Sampling</w:t>
      </w:r>
    </w:p>
    <w:p>
      <w:pPr>
        <w:pStyle w:val="FirstParagraph"/>
      </w:pPr>
      <w:r>
        <w:t xml:space="preserve">Borehole data was collected from a site in Central</w:t>
      </w:r>
      <w:r>
        <w:t xml:space="preserve"> </w:t>
      </w:r>
      <w:r>
        <w:rPr>
          <w:bCs/>
          <w:b/>
        </w:rPr>
        <w:t xml:space="preserve">United Kingdom London</w:t>
      </w:r>
      <w:r>
        <w:t xml:space="preserve">, specifically targeting the London Clay formation. The</w:t>
      </w:r>
      <w:r>
        <w:t xml:space="preserve"> </w:t>
      </w:r>
      <w:r>
        <w:rPr>
          <w:bCs/>
          <w:b/>
        </w:rPr>
        <w:t xml:space="preserve">Civil Engineer</w:t>
      </w:r>
      <w:r>
        <w:t xml:space="preserve"> </w:t>
      </w:r>
      <w:r>
        <w:t xml:space="preserve">supervised the extraction of undisturbed samples using thin-walled tubes. Laboratory tests included:</w:t>
      </w:r>
    </w:p>
    <w:p>
      <w:pPr>
        <w:numPr>
          <w:ilvl w:val="0"/>
          <w:numId w:val="1002"/>
        </w:numPr>
        <w:pStyle w:val="Compact"/>
      </w:pPr>
      <w:r>
        <w:rPr>
          <w:bCs/>
          <w:b/>
        </w:rPr>
        <w:t xml:space="preserve">Triaxial Shear Tests:</w:t>
      </w:r>
      <w:r>
        <w:t xml:space="preserve"> </w:t>
      </w:r>
      <w:r>
        <w:t xml:space="preserve">To determine cohesion (c) and angle of internal friction (φ).</w:t>
      </w:r>
    </w:p>
    <w:p>
      <w:pPr>
        <w:numPr>
          <w:ilvl w:val="0"/>
          <w:numId w:val="1002"/>
        </w:numPr>
        <w:pStyle w:val="Compact"/>
      </w:pPr>
      <w:r>
        <w:rPr>
          <w:bCs/>
          <w:b/>
        </w:rPr>
        <w:t xml:space="preserve">Oedometer Tests:</w:t>
      </w:r>
      <w:r>
        <w:t xml:space="preserve"> </w:t>
      </w:r>
      <w:r>
        <w:t xml:space="preserve">To assess consolidation characteristics and settlement potential.</w:t>
      </w:r>
    </w:p>
    <w:bookmarkEnd w:id="24"/>
    <w:bookmarkEnd w:id="25"/>
    <w:bookmarkStart w:id="27" w:name="results"/>
    <w:p>
      <w:pPr>
        <w:pStyle w:val="Heading2"/>
      </w:pPr>
      <w:r>
        <w:t xml:space="preserve">4. Results</w:t>
      </w:r>
    </w:p>
    <w:p>
      <w:pPr>
        <w:pStyle w:val="FirstParagraph"/>
      </w:pPr>
      <w:r>
        <w:t xml:space="preserve">The laboratory data yielded consistent results that align with expected performance metrics for infrastructure projects in</w:t>
      </w:r>
      <w:r>
        <w:t xml:space="preserve"> </w:t>
      </w:r>
      <w:r>
        <w:rPr>
          <w:bCs/>
          <w:b/>
        </w:rPr>
        <w:t xml:space="preserve">United Kingdom London</w:t>
      </w:r>
      <w:r>
        <w:t xml:space="preserve">.</w:t>
      </w:r>
    </w:p>
    <w:bookmarkStart w:id="26" w:name="section"/>
    <w:p>
      <w:pPr>
        <w:pStyle w:val="Heading3"/>
      </w:pPr>
    </w:p>
    <w:p>
      <w:pPr>
        <w:pStyle w:val="FirstParagraph"/>
      </w:pPr>
      <w:r>
        <w:t xml:space="preserve">Mix Designation</w:t>
      </w:r>
    </w:p>
    <w:bookmarkEnd w:id="26"/>
    <w:bookmarkEnd w:id="27"/>
    <w:p>
      <w:pPr>
        <w:pStyle w:val="BodyText"/>
      </w:pPr>
      <w:r>
        <w:t xml:space="preserve">Slump (mm)</w:t>
      </w:r>
    </w:p>
    <w:p>
      <w:pPr>
        <w:pStyle w:val="BodyText"/>
      </w:pPr>
      <w:r>
        <w:t xml:space="preserve">Air Content (%)</w:t>
      </w:r>
    </w:p>
    <w:p>
      <w:pPr>
        <w:pStyle w:val="BodyText"/>
      </w:pPr>
      <w:r>
        <w:t xml:space="preserve">C40/50 SR2 (Fresh)</w:t>
      </w:r>
    </w:p>
    <w:p>
      <w:pPr>
        <w:pStyle w:val="BodyText"/>
      </w:pPr>
      <w:r>
        <w:t xml:space="preserve">160 ± 20</w:t>
      </w:r>
    </w:p>
    <w:p>
      <w:pPr>
        <w:pStyle w:val="BodyText"/>
      </w:pPr>
      <w:r>
        <w:t xml:space="preserve">3.5 ± 0.5</w:t>
      </w:r>
    </w:p>
    <w:p>
      <w:pPr>
        <w:pStyle w:val="BodyText"/>
      </w:pPr>
      <w:r>
        <w:t xml:space="preserve">C40/50 SR2 (7-Day Cube)</w:t>
      </w:r>
    </w:p>
    <w:p>
      <w:pPr>
        <w:pStyle w:val="BodyText"/>
      </w:pPr>
      <w:r>
        <w:t xml:space="preserve">Average: 48.2 MPa</w:t>
      </w:r>
    </w:p>
    <w:p>
      <w:pPr>
        <w:pStyle w:val="BodyText"/>
      </w:pPr>
      <w:r>
        <w:t xml:space="preserve">C40/50 SR2 (28-Day Cube)</w:t>
      </w:r>
    </w:p>
    <w:p>
      <w:pPr>
        <w:pStyle w:val="BodyText"/>
      </w:pPr>
      <w:r>
        <w:t xml:space="preserve">Average: 56.1 MPa</w:t>
      </w:r>
    </w:p>
    <w:bookmarkStart w:id="28" w:name="geotechnical-parameters"/>
    <w:p>
      <w:pPr>
        <w:pStyle w:val="Heading3"/>
      </w:pPr>
      <w:r>
        <w:t xml:space="preserve">Geotechnical Parameters:</w:t>
      </w:r>
    </w:p>
    <w:p>
      <w:pPr>
        <w:numPr>
          <w:ilvl w:val="0"/>
          <w:numId w:val="1003"/>
        </w:numPr>
        <w:pStyle w:val="Compact"/>
      </w:pPr>
      <w:r>
        <w:rPr>
          <w:bCs/>
          <w:b/>
        </w:rPr>
        <w:t xml:space="preserve">London Clay Cohesion:</w:t>
      </w:r>
      <w:r>
        <w:t xml:space="preserve"> </w:t>
      </w:r>
      <w:r>
        <w:t xml:space="preserve">Averaged at 75 kPa.</w:t>
      </w:r>
    </w:p>
    <w:p>
      <w:pPr>
        <w:numPr>
          <w:ilvl w:val="0"/>
          <w:numId w:val="1003"/>
        </w:numPr>
        <w:pStyle w:val="Compact"/>
      </w:pPr>
      <w:r>
        <w:rPr>
          <w:bCs/>
          <w:b/>
        </w:rPr>
        <w:t xml:space="preserve">Above Water Table Friction Angle:</w:t>
      </w:r>
      <w:r>
        <w:t xml:space="preserve"> </w:t>
      </w:r>
      <w:r>
        <w:t xml:space="preserve">24 degrees.</w:t>
      </w:r>
    </w:p>
    <w:p>
      <w:pPr>
        <w:pStyle w:val="FirstParagraph"/>
      </w:pPr>
      <w:r>
        <w:t xml:space="preserve">5. Discussion</w:t>
      </w:r>
    </w:p>
    <w:p>
      <w:pPr>
        <w:pStyle w:val="BodyText"/>
      </w:pPr>
      <w:r>
        <w:t xml:space="preserve">The results presented in this report demonstrate the viability of the selected materials for use in a major development within</w:t>
      </w:r>
      <w:r>
        <w:t xml:space="preserve"> </w:t>
      </w:r>
      <w:r>
        <w:rPr>
          <w:bCs/>
          <w:b/>
        </w:rPr>
        <w:t xml:space="preserve">United Kingdom London</w:t>
      </w:r>
      <w:r>
        <w:t xml:space="preserve">. The concrete mix exceeded the characteristic strength requirement of 40 MPa at 28 days, achieving an average of 56.1 MPa. This surplus capacity is crucial for</w:t>
      </w:r>
      <w:r>
        <w:t xml:space="preserve"> </w:t>
      </w:r>
      <w:r>
        <w:rPr>
          <w:bCs/>
          <w:b/>
        </w:rPr>
        <w:t xml:space="preserve">Civil Engineer</w:t>
      </w:r>
      <w:r>
        <w:t xml:space="preserve"> </w:t>
      </w:r>
      <w:r>
        <w:t xml:space="preserve">design calculations, providing a safety margin against unforeseen load variations often encountered in tight urban sites where construction vibrations from adjacent projects can affect structural elements.</w:t>
      </w:r>
    </w:p>
    <w:p>
      <w:pPr>
        <w:pStyle w:val="BodyText"/>
      </w:pPr>
      <w:r>
        <w:t xml:space="preserve">The slump value of 160mm indicates excellent workability, facilitating the placement of concrete in congested reinforcement zones typical of London’s basement extensions and underground infrastructure. Furthermore, the sulfate resistance (SR2) classification is vital given that certain areas of</w:t>
      </w:r>
      <w:r>
        <w:t xml:space="preserve"> </w:t>
      </w:r>
      <w:r>
        <w:rPr>
          <w:bCs/>
          <w:b/>
        </w:rPr>
        <w:t xml:space="preserve">United Kingdom London</w:t>
      </w:r>
      <w:r>
        <w:t xml:space="preserve">, particularly near landfill sites or older industrial zones, may have soil with elevated sulfate levels that can degrade standard cementitious materials.</w:t>
      </w:r>
    </w:p>
    <w:p>
      <w:pPr>
        <w:pStyle w:val="BodyText"/>
      </w:pPr>
      <w:r>
        <w:t xml:space="preserve">Regarding geotechnical findings, the behavior of the London Clay is consistent with historical data. However, local variations in groundwater pressure were noted. For a</w:t>
      </w:r>
      <w:r>
        <w:t xml:space="preserve"> </w:t>
      </w:r>
      <w:r>
        <w:rPr>
          <w:bCs/>
          <w:b/>
        </w:rPr>
        <w:t xml:space="preserve">Civil Engineer</w:t>
      </w:r>
      <w:r>
        <w:t xml:space="preserve">, this implies that dewatering strategies must be carefully planned to prevent ground settlement in neighboring historic buildings. The cohesion value of 75 kPa suggests that bored piles will perform adequately, but the angle of friction indicates significant skin friction resistance, which must be factored into the load-bearing calculations.</w:t>
      </w:r>
    </w:p>
    <w:p>
      <w:pPr>
        <w:pStyle w:val="BodyText"/>
      </w:pPr>
      <w:r>
        <w:t xml:space="preserve">It is important to note that these laboratory results represent controlled conditions. On-site variables in</w:t>
      </w:r>
      <w:r>
        <w:t xml:space="preserve"> </w:t>
      </w:r>
      <w:r>
        <w:rPr>
          <w:bCs/>
          <w:b/>
        </w:rPr>
        <w:t xml:space="preserve">United Kingdom London</w:t>
      </w:r>
      <w:r>
        <w:t xml:space="preserve">, such as traffic-induced vibration and limited workspace for curing cubes, may introduce slight variances. Therefore, continuous site monitoring by the responsible</w:t>
      </w:r>
      <w:r>
        <w:t xml:space="preserve"> </w:t>
      </w:r>
      <w:r>
        <w:rPr>
          <w:bCs/>
          <w:b/>
        </w:rPr>
        <w:t xml:space="preserve">Civil Engineer</w:t>
      </w:r>
      <w:r>
        <w:t xml:space="preserve"> </w:t>
      </w:r>
      <w:r>
        <w:t xml:space="preserve">is recommended.</w:t>
      </w:r>
    </w:p>
    <w:bookmarkEnd w:id="28"/>
    <w:bookmarkStart w:id="29" w:name="conclusions"/>
    <w:p>
      <w:pPr>
        <w:pStyle w:val="Heading2"/>
      </w:pPr>
      <w:r>
        <w:t xml:space="preserve">6. Conclusions</w:t>
      </w:r>
    </w:p>
    <w:p>
      <w:pPr>
        <w:pStyle w:val="FirstParagraph"/>
      </w:pPr>
      <w:r>
        <w:t xml:space="preserve">This laboratory report confirms that both the concrete mix and geotechnical conditions are suitable for the proposed construction activities in</w:t>
      </w:r>
      <w:r>
        <w:t xml:space="preserve"> </w:t>
      </w:r>
      <w:r>
        <w:rPr>
          <w:bCs/>
          <w:b/>
        </w:rPr>
        <w:t xml:space="preserve">United Kingdom London</w:t>
      </w:r>
      <w:r>
        <w:t xml:space="preserve">. The materials meet all specified British Standards and Eurocode requirements. The high compressive strength of the concrete ensures long-term durability, while the geotechnical data supports a pile foundation design.</w:t>
      </w:r>
    </w:p>
    <w:p>
      <w:pPr>
        <w:pStyle w:val="BodyText"/>
      </w:pPr>
      <w:r>
        <w:t xml:space="preserve">The role of the</w:t>
      </w:r>
      <w:r>
        <w:t xml:space="preserve"> </w:t>
      </w:r>
      <w:r>
        <w:rPr>
          <w:bCs/>
          <w:b/>
        </w:rPr>
        <w:t xml:space="preserve">Civil Engineer</w:t>
      </w:r>
      <w:r>
        <w:t xml:space="preserve"> </w:t>
      </w:r>
      <w:r>
        <w:t xml:space="preserve">remains critical in interpreting these laboratory results within the broader context of urban planning constraints. Compliance with local regulations in</w:t>
      </w:r>
      <w:r>
        <w:t xml:space="preserve"> </w:t>
      </w:r>
      <w:r>
        <w:rPr>
          <w:bCs/>
          <w:b/>
        </w:rPr>
        <w:t xml:space="preserve">United Kingdom London</w:t>
      </w:r>
      <w:r>
        <w:t xml:space="preserve"> </w:t>
      </w:r>
      <w:r>
        <w:t xml:space="preserve">requires not just structural integrity, but also environmental stewardship and community safety. This report serves as a foundational document for proceeding to the detailed design phase.</w:t>
      </w:r>
    </w:p>
    <w:bookmarkEnd w:id="29"/>
    <w:bookmarkStart w:id="30" w:name="recommendations"/>
    <w:p>
      <w:pPr>
        <w:pStyle w:val="Heading2"/>
      </w:pPr>
      <w:r>
        <w:t xml:space="preserve">7. Recommendations</w:t>
      </w:r>
    </w:p>
    <w:p>
      <w:pPr>
        <w:pStyle w:val="FirstParagraph"/>
      </w:pPr>
      <w:r>
        <w:rPr>
          <w:bCs/>
          <w:b/>
        </w:rPr>
        <w:t xml:space="preserve">Further Geotechnical Investigation:</w:t>
      </w:r>
      <w:r>
        <w:t xml:space="preserve"> </w:t>
      </w:r>
      <w:r>
        <w:t xml:space="preserve">Conduct additional boreholes at 50-meter intervals to confirm uniformity of the London Clay strata across the entire site footprint in</w:t>
      </w:r>
      <w:r>
        <w:t xml:space="preserve"> </w:t>
      </w:r>
      <w:r>
        <w:rPr>
          <w:bCs/>
          <w:b/>
        </w:rPr>
        <w:t xml:space="preserve">United Kingdom London</w:t>
      </w:r>
      <w:r>
        <w:t xml:space="preserve">.</w:t>
      </w:r>
    </w:p>
    <w:p>
      <w:pPr>
        <w:pStyle w:val="BodyText"/>
      </w:pPr>
      <w:r>
        <w:rPr>
          <w:bCs/>
          <w:b/>
        </w:rPr>
        <w:t xml:space="preserve">In-Situ Concrete Testing:</w:t>
      </w:r>
      <w:r>
        <w:t xml:space="preserve"> </w:t>
      </w:r>
      <w:r>
        <w:t xml:space="preserve">Implement non-destructive testing methods, such as ultrasonic pulse velocity, on-site to verify cube test results.</w:t>
      </w:r>
    </w:p>
    <w:p>
      <w:pPr>
        <w:pStyle w:val="BodyText"/>
      </w:pPr>
      <w:r>
        <w:t xml:space="preserve">Sustainability Review:</w:t>
      </w:r>
    </w:p>
    <w:p>
      <w:pPr>
        <w:pStyle w:val="BodyText"/>
      </w:pPr>
      <w:r>
        <w:t xml:space="preserve">The responsible</w:t>
      </w:r>
      <w:r>
        <w:t xml:space="preserve"> </w:t>
      </w:r>
      <w:r>
        <w:rPr>
          <w:bCs/>
          <w:b/>
        </w:rPr>
        <w:t xml:space="preserve">Civil Engineer</w:t>
      </w:r>
      <w:r>
        <w:t xml:space="preserve"> </w:t>
      </w:r>
      <w:r>
        <w:t xml:space="preserve">should also evaluate the embodied carbon of the concrete mix to align with London’s Green New Deal initiatives.</w:t>
      </w:r>
    </w:p>
    <w:p>
      <w:pPr>
        <w:pStyle w:val="BodyText"/>
      </w:pPr>
      <w:r>
        <w:rPr>
          <w:iCs/>
          <w:i/>
        </w:rPr>
        <w:t xml:space="preserve">This document is a formal Laboratory Report prepared for Civil Engineering purposes. It specifically addresses the technical and regulatory environment of United Kingdom London.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Laboratory Report: Structural Assessment and Geotechnical Analysis in United Kingdom London Context</dc:title>
  <dc:creator/>
  <cp:keywords/>
  <dcterms:created xsi:type="dcterms:W3CDTF">2026-07-29T02:05:25Z</dcterms:created>
  <dcterms:modified xsi:type="dcterms:W3CDTF">2026-07-29T02:05:25Z</dcterms:modified>
</cp:coreProperties>
</file>

<file path=docProps/custom.xml><?xml version="1.0" encoding="utf-8"?>
<Properties xmlns="http://schemas.openxmlformats.org/officeDocument/2006/custom-properties" xmlns:vt="http://schemas.openxmlformats.org/officeDocument/2006/docPropsVTypes"/>
</file>