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Structural</w:t>
      </w:r>
      <w:r>
        <w:t xml:space="preserve"> </w:t>
      </w:r>
      <w:r>
        <w:t xml:space="preserve">Integrity</w:t>
      </w:r>
      <w:r>
        <w:t xml:space="preserve"> </w:t>
      </w:r>
      <w:r>
        <w:t xml:space="preserve">and</w:t>
      </w:r>
      <w:r>
        <w:t xml:space="preserve"> </w:t>
      </w:r>
      <w:r>
        <w:t xml:space="preserve">Environmental</w:t>
      </w:r>
      <w:r>
        <w:t xml:space="preserve"> </w:t>
      </w:r>
      <w:r>
        <w:t xml:space="preserve">Compliance</w:t>
      </w:r>
      <w:r>
        <w:t xml:space="preserve"> </w:t>
      </w:r>
      <w:r>
        <w:t xml:space="preserve">in</w:t>
      </w:r>
      <w:r>
        <w:t xml:space="preserve"> </w:t>
      </w:r>
      <w:r>
        <w:t xml:space="preserve">Chicago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Project Management Team, Midwest Infrastructure Division</w:t>
      </w:r>
      <w:r>
        <w:br/>
      </w:r>
      <w:r>
        <w:t xml:space="preserve">: Lead Structural Analyst &amp; Lab Director</w:t>
      </w:r>
      <w:r>
        <w:br/>
      </w:r>
      <w:r>
        <w:t xml:space="preserve">:</w:t>
      </w:r>
    </w:p>
    <w:bookmarkStart w:id="27" w:name="X619bb2a8e050fc416d70a3d19a9b8dcd748ed1b"/>
    <w:p>
      <w:pPr>
        <w:pStyle w:val="Heading1"/>
      </w:pPr>
      <w:r>
        <w:t xml:space="preserve">Civil Engineering Laboratory Report: Geotechnical and Structural Analysis of Subsurface Conditions in the United States Chicago Metropolitan Area</w:t>
      </w:r>
    </w:p>
    <w:bookmarkStart w:id="20" w:name="executive-summary"/>
    <w:p>
      <w:pPr>
        <w:pStyle w:val="Heading2"/>
      </w:pPr>
      <w:r>
        <w:t xml:space="preserve">1. Executive Summary</w:t>
      </w:r>
    </w:p>
    <w:p>
      <w:pPr>
        <w:pStyle w:val="FirstParagraph"/>
      </w:pPr>
      <w:r>
        <w:t xml:space="preserve">This laboratory report details the extensive findings from a series of controlled environmental and structural tests conducted to support large-scale infrastructure projects within the United States Chicago region. As a premier hub for innovation in the **Civil Engineer** profession, our facility was tasked with analyzing soil composition, water table fluctuations, and material fatigue rates specific to this unique urban environment. The primary objective was to ensure that all proposed construction methodologies adhere strictly to local building codes and federal safety standards mandated by the governing bodies of the United States Chicago municipality. The data collected herein provides critical insights into the bearing capacity of glacial till deposits and the corrosive potential of urban runoff, offering a robust framework for future engineering decisions.</w:t>
      </w:r>
    </w:p>
    <w:bookmarkEnd w:id="20"/>
    <w:bookmarkStart w:id="21" w:name="introduction"/>
    <w:p>
      <w:pPr>
        <w:pStyle w:val="Heading2"/>
      </w:pPr>
      <w:r>
        <w:t xml:space="preserve">2. Introduction</w:t>
      </w:r>
    </w:p>
    <w:p>
      <w:pPr>
        <w:pStyle w:val="FirstParagraph"/>
      </w:pPr>
      <w:r>
        <w:t xml:space="preserve">The **United States Chicago** region presents a distinct set of challenges for modern infrastructure development. Situated on the shores of Lake Michigan, the city rests upon layers of soft clay, sand, and glacial till that have shifted over millennia. For any practicing **Civil Engineer**, understanding these subsurface complexities is not merely an academic exercise but a fundamental requirement for public safety and structural longevity. This report aims to document the laboratory procedures employed to simulate decades of stress on foundation materials under conditions replicated from the local climate.</w:t>
      </w:r>
    </w:p>
    <w:p>
      <w:pPr>
        <w:pStyle w:val="BodyText"/>
      </w:pPr>
      <w:r>
        <w:t xml:space="preserve">The scope of this study includes unconfined compressive strength testing, triaxial shear analysis, and permeability assessments. These tests are vital for predicting how structures will settle over time and how they will interact with the hydrological systems of the **United States Chicago** waterways. Furthermore, the report highlights the role of data-driven decision-making in modern civil engineering practices.</w:t>
      </w:r>
    </w:p>
    <w:bookmarkEnd w:id="21"/>
    <w:bookmarkStart w:id="25" w:name="methodology"/>
    <w:p>
      <w:pPr>
        <w:pStyle w:val="Heading2"/>
      </w:pPr>
      <w:r>
        <w:t xml:space="preserve">3. Methodology</w:t>
      </w:r>
    </w:p>
    <w:p>
      <w:pPr>
        <w:pStyle w:val="FirstParagraph"/>
      </w:pPr>
      <w:r>
        <w:t xml:space="preserve">All laboratory procedures were conducted in accordance with American Society for Testing and Materials (ASTM) standards, which are universally recognized benchmarks for **Civil Engineer** professionals across the nation. The testing phase involved three primary stages:</w:t>
      </w:r>
    </w:p>
    <w:bookmarkStart w:id="22" w:name="soil-sampling-and-classification"/>
    <w:p>
      <w:pPr>
        <w:pStyle w:val="Heading3"/>
      </w:pPr>
      <w:r>
        <w:t xml:space="preserve">3.1 Soil Sampling and Classification</w:t>
      </w:r>
    </w:p>
    <w:p>
      <w:pPr>
        <w:pStyle w:val="FirstParagraph"/>
      </w:pPr>
      <w:r>
        <w:t xml:space="preserve">Borehole samples were extracted from designated test sites across the **United States Chicago** metropolitan area. These samples underwent Atterberg Limits testing to determine plasticity indices and grain size analysis to classify soil types. The presence of organic matter was meticulously screened, as high organic content can significantly reduce soil bearing capacity.</w:t>
      </w:r>
    </w:p>
    <w:bookmarkEnd w:id="22"/>
    <w:bookmarkStart w:id="23" w:name="compressive-strength-testing"/>
    <w:p>
      <w:pPr>
        <w:pStyle w:val="Heading3"/>
      </w:pPr>
      <w:r>
        <w:t xml:space="preserve">3.2 Compressive Strength Testing</w:t>
      </w:r>
    </w:p>
    <w:p>
      <w:pPr>
        <w:pStyle w:val="FirstParagraph"/>
      </w:pPr>
      <w:r>
        <w:t xml:space="preserve">Cylindrical concrete specimens were cured under controlled humidity and temperature conditions mimicking the **United States Chicago** winter freeze-thaw cycles. After reaching 28 days of cure age, specimens were subjected to axial loading until failure. This process allows **Civil Engineer** teams to determine the maximum load-bearing capacity of structural elements before catastrophic failure occurs.</w:t>
      </w:r>
    </w:p>
    <w:bookmarkEnd w:id="23"/>
    <w:bookmarkStart w:id="24" w:name="permeability-and-water-flow-analysis"/>
    <w:p>
      <w:pPr>
        <w:pStyle w:val="Heading3"/>
      </w:pPr>
      <w:r>
        <w:t xml:space="preserve">3.3 Permeability and Water Flow Analysis</w:t>
      </w:r>
    </w:p>
    <w:p>
      <w:pPr>
        <w:pStyle w:val="FirstParagraph"/>
      </w:pPr>
      <w:r>
        <w:t xml:space="preserve">To assess the risk of flooding and foundation erosion, constant-head permeability tests were performed on sandy soil samples. The results indicate the rate at which water flows through soil pores, a critical factor in designing drainage systems for the **United States Chicago** urban grid.</w:t>
      </w:r>
    </w:p>
    <w:bookmarkEnd w:id="24"/>
    <w:bookmarkEnd w:id="25"/>
    <w:bookmarkStart w:id="26" w:name="results-and-data-analysis"/>
    <w:p>
      <w:pPr>
        <w:pStyle w:val="Heading2"/>
      </w:pPr>
      <w:r>
        <w:t xml:space="preserve">4. Results and Data Analysis</w:t>
      </w:r>
    </w:p>
    <w:p>
      <w:pPr>
        <w:pStyle w:val="FirstParagraph"/>
      </w:pPr>
      <w:r>
        <w:t xml:space="preserve">Test Parameter</w:t>
      </w:r>
    </w:p>
    <w:bookmarkEnd w:id="26"/>
    <w:bookmarkEnd w:id="27"/>
    <w:p>
      <w:pPr>
        <w:pStyle w:val="BodyText"/>
      </w:pPr>
      <w:r>
        <w:t xml:space="preserve">Average Value</w:t>
      </w:r>
    </w:p>
    <w:p>
      <w:pPr>
        <w:pStyle w:val="BodyText"/>
      </w:pPr>
      <w:r>
        <w:t xml:space="preserve">Tolerance Limit (ASTM)</w:t>
      </w:r>
    </w:p>
    <w:p>
      <w:pPr>
        <w:pStyle w:val="BodyText"/>
      </w:pPr>
      <w:r>
        <w:t xml:space="preserve">**</w:t>
      </w:r>
    </w:p>
    <w:p>
      <w:pPr>
        <w:pStyle w:val="BodyText"/>
      </w:pPr>
      <w:r>
        <w:t xml:space="preserve">****</w:t>
      </w:r>
    </w:p>
    <w:p>
      <w:pPr>
        <w:pStyle w:val="BodyText"/>
      </w:pPr>
      <w:r>
        <w:t xml:space="preserve">**Result Status**/span&gt;</w:t>
      </w:r>
      <w:r>
        <w:rPr>
          <w:bCs/>
          <w:b/>
        </w:rPr>
        <w:t xml:space="preserve">**TD&gt;</w:t>
      </w:r>
      <w:r>
        <w:rPr>
          <w:bCs/>
          <w:b/>
          <w:bCs/>
          <w:b/>
        </w:rPr>
        <w:t xml:space="preserve">Status</w:t>
      </w:r>
      <w:r>
        <w:br/>
      </w:r>
      <w:r>
        <w:rPr>
          <w:bCs/>
          <w:b/>
        </w:rPr>
        <w:t xml:space="preserve">/TD&gt;/TR/THEAD&gt;/</w:t>
      </w:r>
    </w:p>
    <w:p>
      <w:pPr>
        <w:pStyle w:val="BodyText"/>
      </w:pPr>
      <w:r>
        <w:t xml:space="preserve">/</w:t>
      </w:r>
    </w:p>
    <w:p>
      <w:pPr>
        <w:pStyle w:val="BodyText"/>
      </w:pPr>
      <w:r>
        <w:t xml:space="preserve">//TD//SPAN//TDSpan&gt;Pass</w:t>
      </w:r>
    </w:p>
    <w:p>
      <w:pPr>
        <w:pStyle w:val="BodyText"/>
      </w:pPr>
      <w:r>
        <w:t xml:space="preserve">Cohesion (kPa)</w:t>
      </w:r>
    </w:p>
    <w:p>
      <w:pPr>
        <w:pStyle w:val="BodyText"/>
      </w:pPr>
      <w:r>
        <w:t xml:space="preserve">**</w:t>
      </w:r>
    </w:p>
    <w:p>
      <w:pPr>
        <w:pStyle w:val="BodyText"/>
      </w:pPr>
      <w:r>
        <w:t xml:space="preserve">**15.4</w:t>
      </w:r>
    </w:p>
    <w:p>
      <w:pPr>
        <w:pStyle w:val="BodyText"/>
      </w:pPr>
      <w:r>
        <w:t xml:space="preserve">N/A (Design Dependent)</w:t>
      </w:r>
    </w:p>
    <w:p>
      <w:pPr>
        <w:pStyle w:val="BodyText"/>
      </w:pPr>
      <w:r>
        <w:t xml:space="preserve">/</w:t>
      </w:r>
    </w:p>
    <w:p>
      <w:pPr>
        <w:pStyle w:val="BodyText"/>
      </w:pPr>
      <w:r>
        <w:t xml:space="preserve">Sand Percentage (%)</w:t>
      </w:r>
    </w:p>
    <w:p>
      <w:pPr>
        <w:pStyle w:val="BodyText"/>
      </w:pPr>
      <w:r>
        <w:t xml:space="preserve">/SPAN//TDSpan&gt;68%/</w:t>
      </w:r>
      <w:r>
        <w:rPr>
          <w:bCs/>
          <w:b/>
        </w:rPr>
        <w:t xml:space="preserve">Span&gt;TDSpan&gt;75%/STRONG/TD/**/span&gt;//Td&gt;**Acceptable Range**Pass</w:t>
      </w:r>
    </w:p>
    <w:p>
      <w:pPr>
        <w:pStyle w:val="BodyText"/>
      </w:pPr>
      <w:r>
        <w:t xml:space="preserve">Sulfate Content (ppm)</w:t>
      </w:r>
    </w:p>
    <w:p>
      <w:pPr>
        <w:pStyle w:val="BodyText"/>
      </w:pPr>
      <w:r>
        <w:t xml:space="preserve">420 ppm</w:t>
      </w:r>
    </w:p>
    <w:p>
      <w:pPr>
        <w:pStyle w:val="BodyText"/>
      </w:pPr>
      <w:r>
        <w:t xml:space="preserve">&lt; 100 ppm for Class IV</w:t>
      </w:r>
    </w:p>
    <w:p>
      <w:pPr>
        <w:pStyle w:val="BodyText"/>
      </w:pPr>
      <w:r>
        <w:t xml:space="preserve">/</w:t>
      </w:r>
    </w:p>
    <w:p>
      <w:pPr>
        <w:pStyle w:val="BodyText"/>
      </w:pPr>
      <w:r>
        <w:t xml:space="preserve">//TD//TDSpan&gt;Exceeds Standard</w:t>
      </w:r>
      <w:r>
        <w:t xml:space="preserve">/STRONG/TD&gt;**Fail - Requires Mitigation**/td**</w:t>
      </w:r>
    </w:p>
    <w:p>
      <w:pPr>
        <w:pStyle w:val="BodyText"/>
      </w:pPr>
      <w:r>
        <w:t xml:space="preserve">The data indicates that while the structural integrity of the concrete samples meets standard expectations, the sulfate content in certain soil samples exceeds safe limits for direct contact with reinforced steel. This is a common issue in parts of **United States Chicago** due to historical industrial runoff. Consequently, specialized corrosion-resistant coatings must be applied by any **Civil Engineer** overseeing foundation work in these specific zones.</w:t>
      </w:r>
    </w:p>
    <w:bookmarkStart w:id="28" w:name="discussion"/>
    <w:p>
      <w:pPr>
        <w:pStyle w:val="Heading2"/>
      </w:pPr>
      <w:r>
        <w:t xml:space="preserve">5. Discussion</w:t>
      </w:r>
    </w:p>
    <w:p>
      <w:pPr>
        <w:pStyle w:val="FirstParagraph"/>
      </w:pPr>
      <w:r>
        <w:t xml:space="preserve">The findings from this laboratory report underscore the complexity of engineering in dense urban environments like **United States Chicago**. The variability in soil composition requires a highly adaptive approach from every **Civil Engineer** involved in the project lifecycle. The failure of samples to meet sulfate tolerance standards suggests that traditional construction methods may be insufficient without additional protective measures.</w:t>
      </w:r>
    </w:p>
    <w:p>
      <w:pPr>
        <w:pStyle w:val="BodyText"/>
      </w:pPr>
      <w:r>
        <w:t xml:space="preserve">Moreover, the permeability data highlights the necessity for advanced drainage solutions. In **United States Chicago**, where precipitation levels fluctuate significantly throughout the year, relying on standard gravel beds is often inadequate. The laboratory simulations suggest that integrating permeable pavement systems could alleviate pressure on municipal storm sewers while maintaining structural stability.</w:t>
      </w:r>
    </w:p>
    <w:bookmarkEnd w:id="28"/>
    <w:bookmarkStart w:id="29" w:name="recommendations"/>
    <w:p>
      <w:pPr>
        <w:pStyle w:val="Heading2"/>
      </w:pPr>
      <w:r>
        <w:t xml:space="preserve">6. Recommendations</w:t>
      </w:r>
    </w:p>
    <w:p>
      <w:pPr>
        <w:numPr>
          <w:ilvl w:val="0"/>
          <w:numId w:val="1001"/>
        </w:numPr>
        <w:pStyle w:val="Compact"/>
      </w:pPr>
      <w:r>
        <w:rPr>
          <w:bCs/>
          <w:b/>
        </w:rPr>
        <w:t xml:space="preserve">Mitigation Strategies:</w:t>
      </w:r>
      <w:r>
        <w:t xml:space="preserve">**Civil Engineer** teams should implement epoxy-coated rebar or stainless steel alternatives for foundations in high-sulfate zones identified in the test sites of **United States Chicago**.</w:t>
      </w:r>
    </w:p>
    <w:p>
      <w:pPr>
        <w:numPr>
          <w:ilvl w:val="0"/>
          <w:numId w:val="1001"/>
        </w:numPr>
        <w:pStyle w:val="Compact"/>
      </w:pPr>
      <w:r>
        <w:rPr>
          <w:bCs/>
          <w:b/>
        </w:rPr>
        <w:t xml:space="preserve">Ongoing Monitoring:</w:t>
      </w:r>
      <w:r>
        <w:t xml:space="preserve">**Establish a continuous monitoring program to track soil moisture levels and structural settlement over the next five years. This data will be crucial for validating laboratory predictions against real-world conditions.</w:t>
      </w:r>
    </w:p>
    <w:p>
      <w:pPr>
        <w:numPr>
          <w:ilvl w:val="0"/>
          <w:numId w:val="1001"/>
        </w:numPr>
        <w:pStyle w:val="Compact"/>
      </w:pPr>
      <w:r>
        <w:rPr>
          <w:bCs/>
          <w:b/>
        </w:rPr>
        <w:t xml:space="preserve">Design Adaptation:</w:t>
      </w:r>
      <w:r>
        <w:t xml:space="preserve">**Revise current blueprints to incorporate deeper pile foundations where soft clay layers are prevalent, ensuring that loads are transferred to stable bedrock beneath the **United States Chicago** subsurface.</w:t>
      </w:r>
    </w:p>
    <w:bookmarkEnd w:id="29"/>
    <w:bookmarkStart w:id="30" w:name="conclusion"/>
    <w:p>
      <w:pPr>
        <w:pStyle w:val="Heading2"/>
      </w:pPr>
      <w:r>
        <w:t xml:space="preserve">7. Conclusion</w:t>
      </w:r>
    </w:p>
    <w:p>
      <w:pPr>
        <w:pStyle w:val="FirstParagraph"/>
      </w:pPr>
      <w:r>
        <w:t xml:space="preserve">In conclusion, this laboratory report provides a comprehensive analysis of the geotechnical and material challenges facing infrastructure development in **United States Chicago**. By adhering to rigorous testing protocols, we have identified critical vulnerabilities that must be addressed by qualified **Civil Engineer** professionals. The data confirms that while the region offers unique opportunities for architectural innovation, it also demands a heightened level of technical precision and environmental awareness. Only through such diligent laboratory analysis can we ensure the safety, durability, and sustainability of future projects in this vital American city.</w:t>
      </w:r>
    </w:p>
    <w:p>
      <w:pPr>
        <w:pStyle w:val="BodyText"/>
      </w:pPr>
      <w:r>
        <w:rPr>
          <w:bCs/>
          <w:b/>
        </w:rPr>
        <w:t xml:space="preserve">Authorized By:</w:t>
      </w:r>
      <w:r>
        <w:br/>
      </w:r>
      <w:r>
        <w:t xml:space="preserve">Dr. Alan R. Smith, P.E.</w:t>
      </w:r>
      <w:r>
        <w:br/>
      </w:r>
      <w:r>
        <w:t xml:space="preserve">Chief Laboratory Director</w:t>
      </w:r>
      <w:r>
        <w:br/>
      </w:r>
      <w:r>
        <w:t xml:space="preserve">Structural Integrity Division</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Structural Integrity and Environmental Compliance in Chicago</dc:title>
  <dc:creator/>
  <dc:language>en</dc:language>
  <cp:keywords/>
  <dcterms:created xsi:type="dcterms:W3CDTF">2026-07-29T12:31:54Z</dcterms:created>
  <dcterms:modified xsi:type="dcterms:W3CDTF">2026-07-29T12:31:54Z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