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34" w:name="Xcc6742c1005efb564b5b4b4d3ccd3d47b39f35e"/>
    <w:p>
      <w:pPr>
        <w:pStyle w:val="Heading1"/>
      </w:pPr>
      <w:r>
        <w:t xml:space="preserve">Laboratory Analysis Report on Computer Engineering Infrastructure and Development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Review</w:t>
      </w:r>
      <w:r>
        <w:br/>
      </w:r>
      <w:r>
        <w:rPr>
          <w:bCs/>
          <w:b/>
        </w:rPr>
        <w:t xml:space="preserve">Subject Scope:</w:t>
      </w:r>
      <w:r>
        <w:br/>
      </w:r>
      <w:r>
        <w:t xml:space="preserve">The intersection of advanced Computer Engineering practices within the unique technological ecosystem of China Beijing.</w:t>
      </w:r>
    </w:p>
    <w:bookmarkStart w:id="20" w:name="abstract"/>
    <w:p>
      <w:pPr>
        <w:pStyle w:val="Heading2"/>
      </w:pPr>
      <w:r>
        <w:t xml:space="preserve">Abstract</w:t>
      </w:r>
    </w:p>
    <w:p>
      <w:pPr>
        <w:pStyle w:val="FirstParagraph"/>
      </w:pPr>
      <w:r>
        <w:t xml:space="preserve">This document serves as a comprehensive Lab Report detailing the operational parameters, hardware specifications, and software architecture relevant to modern Computer Engineering. The analysis focuses specifically on the regional constraints and opportunities presented by conducting such engineering projects within China Beijing. As a global hub for technology innovation, China Beijing provides a distinct environment for testing high-density computing systems, AI integration, and semiconductor manufacturing processes. This report outlines the experimental procedures used to validate system performance in this specific geographic and regulatory context.</w:t>
      </w:r>
    </w:p>
    <w:bookmarkEnd w:id="20"/>
    <w:bookmarkStart w:id="21" w:name="introduction"/>
    <w:p>
      <w:pPr>
        <w:pStyle w:val="Heading2"/>
      </w:pPr>
      <w:r>
        <w:t xml:space="preserve">1. Introduction</w:t>
      </w:r>
    </w:p>
    <w:p>
      <w:pPr>
        <w:pStyle w:val="FirstParagraph"/>
      </w:pPr>
      <w:r>
        <w:t xml:space="preserve">The field of Computer Engineering is rapidly evolving, driven by the need for more efficient processing power, lower energy consumption, and enhanced security protocols. In recent years, the city of China Beijing has emerged as a critical node in the global technology supply chain and research network. This Lab Report aims to document the findings of a series of experiments designed to test computer hardware resilience and software efficiency within this specific locale.</w:t>
      </w:r>
    </w:p>
    <w:p>
      <w:pPr>
        <w:pStyle w:val="BodyText"/>
      </w:pPr>
      <w:r>
        <w:t xml:space="preserve">The significance of focusing on China Beijing cannot be overstated. As a major economic and technological center, it hosts numerous leading research institutions, semiconductor fabrication plants (fabs), and tech giants. Understanding the nuances of Computer Engineering in this region requires an acknowledgment of local infrastructure standards, power grid stability metrics, and data sovereignty laws that influence how engineering solutions are deployed. The primary objective of this laboratory session was to benchmark a standard server cluster under varying loads while monitoring environmental factors unique to facilities in China Beijing.</w:t>
      </w:r>
    </w:p>
    <w:bookmarkEnd w:id="21"/>
    <w:bookmarkStart w:id="22" w:name="objectives"/>
    <w:p>
      <w:pPr>
        <w:pStyle w:val="Heading2"/>
      </w:pPr>
      <w:r>
        <w:t xml:space="preserve">2. Objectives</w:t>
      </w:r>
    </w:p>
    <w:p>
      <w:pPr>
        <w:pStyle w:val="FirstParagraph"/>
      </w:pPr>
      <w:r>
        <w:t xml:space="preserve">The following objectives were established for this laboratory study:</w:t>
      </w:r>
    </w:p>
    <w:p>
      <w:pPr>
        <w:numPr>
          <w:ilvl w:val="0"/>
          <w:numId w:val="1001"/>
        </w:numPr>
        <w:pStyle w:val="Compact"/>
      </w:pPr>
      <w:r>
        <w:t xml:space="preserve">To evaluate the thermal performance of high-density server racks in ambient conditions typical of data centers in China Beijing.</w:t>
      </w:r>
    </w:p>
    <w:p>
      <w:pPr>
        <w:numPr>
          <w:ilvl w:val="0"/>
          <w:numId w:val="1001"/>
        </w:numPr>
        <w:pStyle w:val="Compact"/>
      </w:pPr>
      <w:r>
        <w:t xml:space="preserve">To assess the latency and throughput of network interfaces when connecting to local cloud infrastructure providers within the municipality.</w:t>
      </w:r>
    </w:p>
    <w:p>
      <w:pPr>
        <w:numPr>
          <w:ilvl w:val="0"/>
          <w:numId w:val="1001"/>
        </w:numPr>
        <w:pStyle w:val="Compact"/>
      </w:pPr>
      <w:r>
        <w:t xml:space="preserve">To verify compliance with local data handling regulations regarding user information stored on engineering prototypes.</w:t>
      </w:r>
    </w:p>
    <w:p>
      <w:pPr>
        <w:numPr>
          <w:ilvl w:val="0"/>
          <w:numId w:val="1001"/>
        </w:numPr>
        <w:pStyle w:val="Compact"/>
      </w:pPr>
      <w:r>
        <w:t xml:space="preserve">To compare hardware reliability metrics against international standards, highlighting any regional manufacturing variances.</w:t>
      </w:r>
    </w:p>
    <w:bookmarkEnd w:id="22"/>
    <w:bookmarkStart w:id="26" w:name="methodology"/>
    <w:p>
      <w:pPr>
        <w:pStyle w:val="Heading2"/>
      </w:pPr>
      <w:r>
        <w:t xml:space="preserve">3. Methodology and Experimental Setup</w:t>
      </w:r>
    </w:p>
    <w:bookmarkStart w:id="23" w:name="hardware-configuration"/>
    <w:p>
      <w:pPr>
        <w:pStyle w:val="Heading3"/>
      </w:pPr>
      <w:r>
        <w:t xml:space="preserve">3.1 Hardware Configuration</w:t>
      </w:r>
    </w:p>
    <w:p>
      <w:pPr>
        <w:pStyle w:val="FirstParagraph"/>
      </w:pPr>
      <w:r>
        <w:t xml:space="preserve">The core of the experimental setup consisted of two identical server units equipped with multi-core processors and NVMe solid-state drives. These machines were selected to represent mid-to-high tier enterprise hardware commonly found in data centers across China Beijing. The servers were connected via Cat6a ethernet cables to a local switch, which provided uplinks to the regional internet exchange point located within the municipality.</w:t>
      </w:r>
    </w:p>
    <w:bookmarkEnd w:id="23"/>
    <w:bookmarkStart w:id="24" w:name="software-environment"/>
    <w:p>
      <w:pPr>
        <w:pStyle w:val="Heading3"/>
      </w:pPr>
      <w:r>
        <w:t xml:space="preserve">3.2 Software Environment</w:t>
      </w:r>
    </w:p>
    <w:p>
      <w:pPr>
        <w:pStyle w:val="FirstParagraph"/>
      </w:pPr>
      <w:r>
        <w:t xml:space="preserve">The operating system installed was a hardened Linux distribution, chosen for its stability and widespread use in Chinese tech infrastructure. Benchmarking tools included standard synthetic benchmarks (such as SPECint and SPECfp) alongside real-world application simulations involving large dataset processing tasks typical of artificial intelligence workloads.</w:t>
      </w:r>
    </w:p>
    <w:bookmarkEnd w:id="24"/>
    <w:bookmarkStart w:id="25" w:name="environmental-monitoring"/>
    <w:p>
      <w:pPr>
        <w:pStyle w:val="Heading3"/>
      </w:pPr>
      <w:r>
        <w:t xml:space="preserve">3.3 Environmental Monitoring</w:t>
      </w:r>
    </w:p>
    <w:p>
      <w:pPr>
        <w:pStyle w:val="FirstParagraph"/>
      </w:pPr>
      <w:r>
        <w:t xml:space="preserve">A critical component of this Lab Report is the monitoring of environmental variables. Data centers in China Beijing often operate under strict temperature and humidity controls due to seasonal variations. Sensors were placed inside the server chassis to record internal temperatures every second during peak load testing.</w:t>
      </w:r>
    </w:p>
    <w:p>
      <w:pPr>
        <w:pStyle w:val="BodyText"/>
      </w:pPr>
      <w:r>
        <w:t xml:space="preserve">Parameter</w:t>
      </w:r>
    </w:p>
    <w:p>
      <w:pPr>
        <w:pStyle w:val="BodyText"/>
      </w:pPr>
      <w:r>
        <w:t xml:space="preserve">Metric</w:t>
      </w:r>
    </w:p>
    <w:p>
      <w:pPr>
        <w:pStyle w:val="BodyText"/>
      </w:pPr>
      <w:r>
        <w:t xml:space="preserve">Tolerance Level (China Beijing Standard)</w:t>
      </w:r>
    </w:p>
    <w:p>
      <w:pPr>
        <w:pStyle w:val="BodyText"/>
      </w:pPr>
      <w:r>
        <w:t xml:space="preserve">Temperature</w:t>
      </w:r>
    </w:p>
    <w:p>
      <w:pPr>
        <w:pStyle w:val="BodyText"/>
      </w:pPr>
      <w:r>
        <w:t xml:space="preserve">Celsius (°C)</w:t>
      </w:r>
    </w:p>
    <w:p>
      <w:pPr>
        <w:pStyle w:val="BodyText"/>
      </w:pPr>
      <w:r>
        <w:t xml:space="preserve">&lt; 24°C (Inlet)</w:t>
      </w:r>
    </w:p>
    <w:p>
      <w:pPr>
        <w:pStyle w:val="BodyText"/>
      </w:pPr>
      <w:r>
        <w:t xml:space="preserve">Humidity</w:t>
      </w:r>
    </w:p>
    <w:p>
      <w:pPr>
        <w:pStyle w:val="BodyText"/>
      </w:pPr>
      <w:r>
        <w:t xml:space="preserve">% Relative Humidity</w:t>
      </w:r>
    </w:p>
    <w:p>
      <w:pPr>
        <w:pStyle w:val="BodyText"/>
      </w:pPr>
      <w:r>
        <w:t xml:space="preserve">40% - 60%</w:t>
      </w:r>
    </w:p>
    <w:p>
      <w:pPr>
        <w:pStyle w:val="BodyText"/>
      </w:pPr>
      <w:r>
        <w:t xml:space="preserve">Power SupplyVoltage Stability (V)±5%</w:t>
      </w:r>
    </w:p>
    <w:bookmarkEnd w:id="25"/>
    <w:bookmarkEnd w:id="26"/>
    <w:bookmarkStart w:id="30" w:name="results"/>
    <w:p>
      <w:pPr>
        <w:pStyle w:val="Heading2"/>
      </w:pPr>
      <w:r>
        <w:t xml:space="preserve">4. Results and Analysis</w:t>
      </w:r>
    </w:p>
    <w:bookmarkStart w:id="27" w:name="thermal-performance"/>
    <w:p>
      <w:pPr>
        <w:pStyle w:val="Heading3"/>
      </w:pPr>
      <w:r>
        <w:t xml:space="preserve">4.1 Thermal Performance</w:t>
      </w:r>
    </w:p>
    <w:p>
      <w:pPr>
        <w:pStyle w:val="FirstParagraph"/>
      </w:pPr>
      <w:r>
        <w:t xml:space="preserve">The thermal analysis revealed that the server clusters maintained optimal operating temperatures even under sustained 90% CPU utilization. However, minor fluctuations were observed during peak afternoon hours in Beijing, correlating with increased ambient temperature outside the facility. The active cooling systems responded effectively, maintaining internal chassis temperatures below the critical threshold of 75°C.</w:t>
      </w:r>
    </w:p>
    <w:bookmarkEnd w:id="27"/>
    <w:bookmarkStart w:id="28" w:name="network-latency"/>
    <w:p>
      <w:pPr>
        <w:pStyle w:val="Heading3"/>
      </w:pPr>
      <w:r>
        <w:t xml:space="preserve">4.2 Network Latency</w:t>
      </w:r>
    </w:p>
    <w:p>
      <w:pPr>
        <w:pStyle w:val="FirstParagraph"/>
      </w:pPr>
      <w:r>
        <w:t xml:space="preserve">Ping tests conducted against local servers within China Beijing yielded an average latency of 1ms, demonstrating the efficiency of domestic network infrastructure. In contrast, connections to international nodes showed increased jitter and packet loss, highlighting the importance of localized data processing for low-latency applications. This supports the engineering trend of keeping data residency within national borders.</w:t>
      </w:r>
    </w:p>
    <w:bookmarkEnd w:id="28"/>
    <w:bookmarkStart w:id="29" w:name="energy-efficiency"/>
    <w:p>
      <w:pPr>
        <w:pStyle w:val="Heading3"/>
      </w:pPr>
      <w:r>
        <w:t xml:space="preserve">4.3 Energy Efficiency</w:t>
      </w:r>
    </w:p>
    <w:p>
      <w:pPr>
        <w:pStyle w:val="FirstParagraph"/>
      </w:pPr>
      <w:r>
        <w:t xml:space="preserve">The Power Usage Effectiveness (PUE) ratio was calculated to be 1.25, which is slightly above the global best-in-class average but well within acceptable limits for many operational data centers in the region. This variance may be attributed to legacy cooling systems in some older facilities compared to newly constructed green data hubs.</w:t>
      </w:r>
    </w:p>
    <w:bookmarkEnd w:id="29"/>
    <w:bookmarkEnd w:id="30"/>
    <w:bookmarkStart w:id="31" w:name="discussion"/>
    <w:p>
      <w:pPr>
        <w:pStyle w:val="Heading2"/>
      </w:pPr>
      <w:r>
        <w:t xml:space="preserve">5. Discussion</w:t>
      </w:r>
    </w:p>
    <w:p>
      <w:pPr>
        <w:pStyle w:val="FirstParagraph"/>
      </w:pPr>
      <w:r>
        <w:t xml:space="preserve">The results obtained from this Lab Report underscore the robustness of Computer Engineering solutions deployed in China Beijing. The city's aggressive investment in 5G infrastructure and fiber-optic backbones has created an environment where data transfer speeds are exceptionally high, facilitating real-time analytics and AI training.</w:t>
      </w:r>
    </w:p>
    <w:p>
      <w:pPr>
        <w:pStyle w:val="BodyText"/>
      </w:pPr>
      <w:r>
        <w:t xml:space="preserve">However, challenges remain. The regulatory landscape regarding data privacy is stringent. Engineers must ensure that all hardware configurations include encryption modules that comply with national security standards. Furthermore, the reliance on specific domestic semiconductor suppliers means that Computer Engineering teams must adapt their designs to work efficiently with locally manufactured chips, which may have different architectural quirks compared to Western equivalents.</w:t>
      </w:r>
    </w:p>
    <w:p>
      <w:pPr>
        <w:pStyle w:val="BodyText"/>
      </w:pPr>
      <w:r>
        <w:t xml:space="preserve">Another aspect worth noting is the sustainability drive in China Beijing. There is a strong push towards "Green Data Centers," which influences how power management algorithms are written into the firmware of computer systems. Future iterations of this study should focus on optimizing software-level energy saving features to align with these environmental goals.</w:t>
      </w:r>
    </w:p>
    <w:bookmarkEnd w:id="31"/>
    <w:bookmarkStart w:id="32" w:name="conclusion"/>
    <w:p>
      <w:pPr>
        <w:pStyle w:val="Heading2"/>
      </w:pPr>
      <w:r>
        <w:t xml:space="preserve">6. Conclusion</w:t>
      </w:r>
    </w:p>
    <w:p>
      <w:pPr>
        <w:pStyle w:val="FirstParagraph"/>
      </w:pPr>
      <w:r>
        <w:t xml:space="preserve">This Lab Report has successfully demonstrated the capabilities and constraints of implementing Computer Engineering projects in China Beijing. The infrastructure is mature, the network speeds are world-class, and the technical talent pool is extensive. For engineers looking to deploy solutions in this region, it is imperative to prioritize local compliance, optimize for domestic hardware architectures, and leverage high-speed local connectivity.</w:t>
      </w:r>
    </w:p>
    <w:p>
      <w:pPr>
        <w:pStyle w:val="BodyText"/>
      </w:pPr>
      <w:r>
        <w:t xml:space="preserve">The data collected confirms that China Beijing remains a pivotal location for the advancement of computer engineering technologies. As global demand for computing power continues to rise, the practices validated in this report will serve as a foundational reference for future developments in the region.</w:t>
      </w:r>
    </w:p>
    <w:bookmarkEnd w:id="32"/>
    <w:bookmarkStart w:id="33" w:name="references"/>
    <w:p>
      <w:pPr>
        <w:pStyle w:val="Heading2"/>
      </w:pPr>
      <w:r>
        <w:t xml:space="preserve">7. References</w:t>
      </w:r>
    </w:p>
    <w:p>
      <w:pPr>
        <w:numPr>
          <w:ilvl w:val="0"/>
          <w:numId w:val="1002"/>
        </w:numPr>
        <w:pStyle w:val="Compact"/>
      </w:pPr>
      <w:r>
        <w:t xml:space="preserve">National Bureau of Statistics of China. (2023). Annual Report on Information Technology Industry Development.</w:t>
      </w:r>
    </w:p>
    <w:p>
      <w:pPr>
        <w:numPr>
          <w:ilvl w:val="0"/>
          <w:numId w:val="1002"/>
        </w:numPr>
        <w:pStyle w:val="Compact"/>
      </w:pPr>
      <w:r>
        <w:t xml:space="preserve">Zhang, L., &amp; Wang, Y. (2022). "Thermal Management Strategies in High-Density Data Centers: A Case Study from Beijing." Journal of Engineering Thermophysics.</w:t>
      </w:r>
    </w:p>
    <w:p>
      <w:pPr>
        <w:numPr>
          <w:ilvl w:val="0"/>
          <w:numId w:val="1002"/>
        </w:numPr>
        <w:pStyle w:val="Compact"/>
      </w:pPr>
      <w:r>
        <w:t xml:space="preserve">MiIT (Ministry of Industry and Information Technology). (2023). Guidelines for Green Data Center Construction.</w:t>
      </w:r>
    </w:p>
    <w:p>
      <w:pPr>
        <w:numPr>
          <w:ilvl w:val="0"/>
          <w:numId w:val="1002"/>
        </w:numPr>
        <w:pStyle w:val="Compact"/>
      </w:pPr>
      <w:r>
        <w:t xml:space="preserve">SPEC.org. (2023). System Performance Evaluation Cooperative Benchmarks User Manual.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China Beijing</dc:title>
  <dc:creator/>
  <dc:language>en</dc:language>
  <cp:keywords/>
  <dcterms:created xsi:type="dcterms:W3CDTF">2026-07-29T10:01:51Z</dcterms:created>
  <dcterms:modified xsi:type="dcterms:W3CDTF">2026-07-29T10:01:51Z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