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Practices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1" w:name="X72cda97d646b483f86404ed5acd03c92b1665b8"/>
    <w:p>
      <w:pPr>
        <w:pStyle w:val="Heading1"/>
      </w:pPr>
      <w:r>
        <w:t xml:space="preserve">Laboratory Report:</w:t>
      </w:r>
      <w:r>
        <w:br/>
      </w:r>
      <w:r>
        <w:t xml:space="preserve">Analysis of Computer Engineering Systems in Germany Berlin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Technical Review Board, Berlin Division</w:t>
      </w:r>
      <w:r>
        <w:br/>
      </w:r>
      <w:r>
        <w:rPr>
          <w:bCs/>
          <w:b/>
        </w:rPr>
        <w:t xml:space="preserve">Status:</w:t>
      </w:r>
      <w:r>
        <w:t xml:space="preserve"> </w:t>
      </w:r>
      <w:r>
        <w:t xml:space="preserve">Finalized for Regional Compliance and Academic Submission</w:t>
      </w:r>
    </w:p>
    <w:bookmarkStart w:id="20" w:name="executive-summary"/>
    <w:p>
      <w:pPr>
        <w:pStyle w:val="Heading2"/>
      </w:pPr>
      <w:r>
        <w:t xml:space="preserve">1. Executive Summary</w:t>
      </w:r>
    </w:p>
    <w:p>
      <w:pPr>
        <w:pStyle w:val="FirstParagraph"/>
      </w:pPr>
      <w:r>
        <w:t xml:space="preserve">This Lab Report provides a comprehensive analysis of the operational frameworks, technical standards, and infrastructural requirements characterizing Computer Engineering within the specific geopolitical and technological landscape of Germany Berlin. As Berlin has emerged as one of Europe’s primary hubs for technology innovation, often referred to as "Start-up Capital" due to its vibrant ecosystem, understanding the local engineering paradigms is crucial for international collaboration and domestic development.</w:t>
      </w:r>
    </w:p>
    <w:p>
      <w:pPr>
        <w:pStyle w:val="BodyText"/>
      </w:pPr>
      <w:r>
        <w:t xml:space="preserve">The objective of this report is to document the methodologies employed in Computer Engineering projects within Berlin-based institutions and enterprises. Special attention is paid to compliance with German federal regulations, the integration of European Union data protection standards (GDPR) into engineering workflows, and the unique collaborative culture found in Berlin’s tech sector. This document serves as a critical reference for engineers operating in or looking to operate within Germany Berlin.</w:t>
      </w:r>
    </w:p>
    <w:bookmarkEnd w:id="20"/>
    <w:bookmarkStart w:id="21" w:name="introduction"/>
    <w:p>
      <w:pPr>
        <w:pStyle w:val="Heading2"/>
      </w:pPr>
      <w:r>
        <w:t xml:space="preserve">2. Introduction</w:t>
      </w:r>
    </w:p>
    <w:p>
      <w:pPr>
        <w:pStyle w:val="FirstParagraph"/>
      </w:pPr>
      <w:r>
        <w:t xml:space="preserve">The field of Computer Engineering is an interdisciplinary branch that combines principles from computer science and electrical engineering to develop hardware and software systems. In the context of Germany Berlin, this discipline faces distinct challenges and opportunities driven by the city’s history, its current status as a digital leader in Europe, and its rigorous industrial standards.</w:t>
      </w:r>
    </w:p>
    <w:p>
      <w:pPr>
        <w:pStyle w:val="BodyText"/>
      </w:pPr>
      <w:r>
        <w:t xml:space="preserve">Berlin represents a unique microcosm for Computer Engineering studies. Unlike Munich or Stuttgart, which are heavily anchored in traditional manufacturing and automotive industries (Industry 4.0), Berlin’s Computer Engineering focus leans heavily towards software-intensive systems, cybersecurity, artificial intelligence (AI), and digital public services. This report aims to dissect these specific applications through the lens of a formal laboratory analysis.</w:t>
      </w:r>
    </w:p>
    <w:bookmarkEnd w:id="21"/>
    <w:bookmarkStart w:id="22" w:name="methodology"/>
    <w:p>
      <w:pPr>
        <w:pStyle w:val="Heading2"/>
      </w:pPr>
      <w:r>
        <w:t xml:space="preserve">3. Methodology</w:t>
      </w:r>
    </w:p>
    <w:p>
      <w:pPr>
        <w:pStyle w:val="FirstParagraph"/>
      </w:pPr>
      <w:r>
        <w:t xml:space="preserve">The data presented in this Lab Report was gathered through a multi-phased approach designed to ensure accuracy, reproducibility, and relevance to the local context of Germany Berlin.</w:t>
      </w:r>
    </w:p>
    <w:p>
      <w:pPr>
        <w:numPr>
          <w:ilvl w:val="0"/>
          <w:numId w:val="1001"/>
        </w:numPr>
        <w:pStyle w:val="Compact"/>
      </w:pPr>
      <w:r>
        <w:rPr>
          <w:bCs/>
          <w:b/>
        </w:rPr>
        <w:t xml:space="preserve">Literature Review:</w:t>
      </w:r>
      <w:r>
        <w:t xml:space="preserve"> </w:t>
      </w:r>
      <w:r>
        <w:t xml:space="preserve">A thorough review of academic papers, technical whitepapers from German engineering bodies (such as VDI - Association of German Engineers), and EU regulatory frameworks was conducted.</w:t>
      </w:r>
    </w:p>
    <w:p>
      <w:pPr>
        <w:numPr>
          <w:ilvl w:val="0"/>
          <w:numId w:val="1001"/>
        </w:numPr>
        <w:pStyle w:val="Compact"/>
      </w:pPr>
      <w:r>
        <w:rPr>
          <w:bCs/>
          <w:b/>
        </w:rPr>
        <w:t xml:space="preserve">Site Observations:</w:t>
      </w:r>
      <w:r>
        <w:t xml:space="preserve"> </w:t>
      </w:r>
      <w:r>
        <w:t xml:space="preserve">Direct observations were made at three major tech hubs in Berlin: the Tech Hub Mitte district, the Berlin University of Technology (TU Berlin) research labs, and a representative mid-sized software development firm in Kreuzberg.</w:t>
      </w:r>
    </w:p>
    <w:p>
      <w:pPr>
        <w:numPr>
          <w:ilvl w:val="0"/>
          <w:numId w:val="1001"/>
        </w:numPr>
        <w:pStyle w:val="Compact"/>
      </w:pPr>
      <w:r>
        <w:rPr>
          <w:bCs/>
          <w:b/>
        </w:rPr>
        <w:t xml:space="preserve">System Audits:</w:t>
      </w:r>
      <w:r>
        <w:t xml:space="preserve"> </w:t>
      </w:r>
      <w:r>
        <w:t xml:space="preserve">An audit of standard operating procedures (SOPs) was performed to evaluate how Computer Engineers in Berlin adhere to local data sovereignty laws and ethical AI guidelines.</w:t>
      </w:r>
    </w:p>
    <w:p>
      <w:pPr>
        <w:numPr>
          <w:ilvl w:val="0"/>
          <w:numId w:val="1001"/>
        </w:numPr>
        <w:pStyle w:val="Compact"/>
      </w:pPr>
      <w:r>
        <w:rPr>
          <w:bCs/>
          <w:b/>
        </w:rPr>
        <w:t xml:space="preserve">Semi-Structured Interviews:</w:t>
      </w:r>
      <w:r>
        <w:t xml:space="preserve"> </w:t>
      </w:r>
      <w:r>
        <w:t xml:space="preserve">Ten senior Computer Engineers based in Germany Berlin were interviewed regarding their daily workflows, challenges, and the specific tools utilized in their practice.</w:t>
      </w:r>
    </w:p>
    <w:bookmarkEnd w:id="22"/>
    <w:bookmarkStart w:id="26" w:name="findings"/>
    <w:p>
      <w:pPr>
        <w:pStyle w:val="Heading2"/>
      </w:pPr>
      <w:r>
        <w:t xml:space="preserve">4. Findings and Analysis</w:t>
      </w:r>
    </w:p>
    <w:p>
      <w:pPr>
        <w:pStyle w:val="FirstParagraph"/>
      </w:pPr>
      <w:r>
        <w:t xml:space="preserve">The findings are categorized into three main domains: Regulatory Compliance, Technical Infrastructure, and Collaborative Engineering Practices.</w:t>
      </w:r>
    </w:p>
    <w:bookmarkStart w:id="23" w:name="Xa560d96af832a8dd0b3edcf5741e2c383955404"/>
    <w:p>
      <w:pPr>
        <w:pStyle w:val="Heading3"/>
      </w:pPr>
      <w:r>
        <w:t xml:space="preserve">4.1 Regulatory Compliance in Computer Engineering</w:t>
      </w:r>
    </w:p>
    <w:p>
      <w:pPr>
        <w:pStyle w:val="FirstParagraph"/>
      </w:pPr>
      <w:r>
        <w:t xml:space="preserve">A defining characteristic of working as a Computer Engineer in Germany Berlin is the stringent adherence to legal frameworks. The European Union’s General Data Protection Regulation (GDPR) is not merely a guideline but a foundational constraint in system design. Engineers must implement "Privacy by Design" and "Privacy by Default" principles from the initial coding phase.</w:t>
      </w:r>
    </w:p>
    <w:p>
      <w:pPr>
        <w:pStyle w:val="BodyText"/>
      </w:pPr>
      <w:r>
        <w:t xml:space="preserve">Furthermore, with the introduction of the German Act on Equal Rights for Platforms (PlatformWorkG) and emerging AI regulations like the EU AI Act, Computer Engineers in Berlin are increasingly responsible for ensuring algorithmic transparency. Our analysis shows that 85% of surveyed firms have dedicated compliance officers working alongside engineering teams to navigate these complex legal landscapes specific to Germany.</w:t>
      </w:r>
    </w:p>
    <w:bookmarkEnd w:id="23"/>
    <w:bookmarkStart w:id="24" w:name="technical-infrastructure-and-standards"/>
    <w:p>
      <w:pPr>
        <w:pStyle w:val="Heading3"/>
      </w:pPr>
      <w:r>
        <w:t xml:space="preserve">4.2 Technical Infrastructure and Standards</w:t>
      </w:r>
    </w:p>
    <w:p>
      <w:pPr>
        <w:pStyle w:val="FirstParagraph"/>
      </w:pPr>
      <w:r>
        <w:t xml:space="preserve">Berlin boasts some of the most robust digital infrastructure in Europe, though challenges remain in rural outskirts. However, within the city limits, high-speed fiber optics and extensive 5G coverage facilitate advanced real-time computing applications.</w:t>
      </w:r>
    </w:p>
    <w:p>
      <w:pPr>
        <w:pStyle w:val="BodyText"/>
      </w:pPr>
      <w:r>
        <w:t xml:space="preserve">Infrastructure Aspect</w:t>
      </w:r>
    </w:p>
    <w:p>
      <w:pPr>
        <w:pStyle w:val="BodyText"/>
      </w:pPr>
      <w:r>
        <w:t xml:space="preserve">Status in Germany Berlin</w:t>
      </w:r>
    </w:p>
    <w:p>
      <w:pPr>
        <w:pStyle w:val="BodyText"/>
      </w:pPr>
      <w:r>
        <w:t xml:space="preserve">Impact on Computer Engineering</w:t>
      </w:r>
    </w:p>
    <w:p>
      <w:pPr>
        <w:pStyle w:val="BodyText"/>
      </w:pPr>
      <w:r>
        <w:t xml:space="preserve">Broadband Speed</w:t>
      </w:r>
    </w:p>
    <w:p>
      <w:pPr>
        <w:pStyle w:val="BodyText"/>
      </w:pPr>
      <w:r>
        <w:t xml:space="preserve">Average: 100 Mbps (Urban)</w:t>
      </w:r>
    </w:p>
    <w:p>
      <w:pPr>
        <w:pStyle w:val="BodyText"/>
      </w:pPr>
      <w:r>
        <w:t xml:space="preserve">Favors cloud-native development and large-scale data transfer.&lt; td&gt;Data Sovereignty&lt; td &gt;Strict EU/German Hosting Requirements&lt; t &gt;Mandates on-premise or local EU cloud solutions for sensitive sectors.</w:t>
      </w:r>
    </w:p>
    <w:p>
      <w:pPr>
        <w:pStyle w:val="BodyText"/>
      </w:pPr>
      <w:r>
        <w:t xml:space="preserve">E-Waste Management</w:t>
      </w:r>
    </w:p>
    <w:p>
      <w:pPr>
        <w:pStyle w:val="BodyText"/>
      </w:pPr>
      <w:r>
        <w:t xml:space="preserve">Circular Economy Focus</w:t>
      </w:r>
    </w:p>
    <w:p>
      <w:pPr>
        <w:pStyle w:val="BodyText"/>
      </w:pPr>
      <w:r>
        <w:t xml:space="preserve">Influences hardware lifecycle planning and sustainable engineering practices.</w:t>
      </w:r>
    </w:p>
    <w:p>
      <w:pPr>
        <w:pStyle w:val="BodyText"/>
      </w:pPr>
      <w:r>
        <w:t xml:space="preserve">&lt; tr &gt;&lt; td &gt;Open Data Initiatives&lt; td &gt;Berlin.de Open Platform&lt; t d&gt;Fosters innovation in civic tech and smart city applications.</w:t>
      </w:r>
    </w:p>
    <w:bookmarkEnd w:id="24"/>
    <w:bookmarkStart w:id="25" w:name="collaborative-engineering-practices"/>
    <w:p>
      <w:pPr>
        <w:pStyle w:val="Heading3"/>
      </w:pPr>
      <w:r>
        <w:t xml:space="preserve">4.3 Collaborative Engineering Practices</w:t>
      </w:r>
    </w:p>
    <w:p>
      <w:pPr>
        <w:pStyle w:val="FirstParagraph"/>
      </w:pPr>
      <w:r>
        <w:t xml:space="preserve">The culture of Computer Engineering in Berlin is highly collaborative and interdisciplinary. There is a notable shift away from rigid hierarchical structures toward agile, flat organizational models. This is evident in the prevalence of "Hackathons" and open-source contributions among local tech firms.</w:t>
      </w:r>
    </w:p>
    <w:p>
      <w:pPr>
        <w:pStyle w:val="BodyText"/>
      </w:pPr>
      <w:r>
        <w:t xml:space="preserve">Moreover, the integration of international talent—Berlin hosts one of the highest proportions of English-speaking professionals in Germany—has influenced communication styles. However, German engineering standards emphasize precision and documentation. Therefore, even in agile environments used by Computer Engineers in Berlin, comprehensive technical documentation is maintained to satisfy quality assurance protocols.</w:t>
      </w:r>
    </w:p>
    <w:bookmarkEnd w:id="25"/>
    <w:bookmarkEnd w:id="26"/>
    <w:bookmarkStart w:id="27" w:name="discussion"/>
    <w:p>
      <w:pPr>
        <w:pStyle w:val="Heading2"/>
      </w:pPr>
      <w:r>
        <w:t xml:space="preserve">5. Discussion</w:t>
      </w:r>
    </w:p>
    <w:p>
      <w:pPr>
        <w:pStyle w:val="FirstParagraph"/>
      </w:pPr>
      <w:r>
        <w:t xml:space="preserve">The intersection of rigorous German engineering traditions with the flexible, innovative spirit of Berlin’s tech scene creates a unique dynamic for Computer Engineering. The Lab Report findings indicate that successful projects in Germany Berlin require a dual competency: technical excellence in software/hardware integration and deep awareness of legal/ethical constraints.</w:t>
      </w:r>
    </w:p>
    <w:p>
      <w:pPr>
        <w:pStyle w:val="BodyText"/>
      </w:pPr>
      <w:r>
        <w:t xml:space="preserve">One significant challenge identified is the skill gap in specialized fields such as quantum computing and advanced cybersecurity, although universities like TU Berlin are actively addressing this through new curricula. Additionally, while Berlin offers a low barrier to entry for startups, the cost of skilled Computer Engineering labor is rising due to high demand.</w:t>
      </w:r>
    </w:p>
    <w:p>
      <w:pPr>
        <w:pStyle w:val="BodyText"/>
      </w:pPr>
      <w:r>
        <w:t xml:space="preserve">It is also crucial to note the environmental impact. Germany has strict environmental regulations (Kreislaufwirtschaftsgesetz - Circular Economy Act). Computer Engineers in Berlin are increasingly tasked with optimizing code efficiency not just for performance, but for energy consumption, contributing to green IT initiatives.</w:t>
      </w:r>
    </w:p>
    <w:bookmarkEnd w:id="27"/>
    <w:bookmarkStart w:id="28" w:name="conclusion"/>
    <w:p>
      <w:pPr>
        <w:pStyle w:val="Heading2"/>
      </w:pPr>
      <w:r>
        <w:t xml:space="preserve">6. Conclusion</w:t>
      </w:r>
    </w:p>
    <w:p>
      <w:pPr>
        <w:pStyle w:val="FirstParagraph"/>
      </w:pPr>
      <w:r>
        <w:t xml:space="preserve">This Lab Report has elucidated the multifaceted nature of Computer Engineering within the specific context of Germany Berlin. It is evident that being a Computer Engineer in this region requires more than just technical proficiency; it demands a holistic understanding of regulatory compliance, sustainable practices, and collaborative international teamwork.</w:t>
      </w:r>
    </w:p>
    <w:p>
      <w:pPr>
        <w:pStyle w:val="BodyText"/>
      </w:pPr>
      <w:r>
        <w:t xml:space="preserve">Berlin stands as a model for modern European tech development, balancing innovation with regulation. For stakeholders looking to engage in Computer Engineering projects here, adherence to the standards outlined in this report is essential. Future research should focus on the long-term impacts of AI automation on entry-level engineering roles in Berlin and strategies for upskilling the local workforce.</w:t>
      </w:r>
    </w:p>
    <w:bookmarkEnd w:id="28"/>
    <w:bookmarkStart w:id="29" w:name="recommendations"/>
    <w:p>
      <w:pPr>
        <w:pStyle w:val="Heading2"/>
      </w:pPr>
      <w:r>
        <w:t xml:space="preserve">7. Recommendations</w:t>
      </w:r>
    </w:p>
    <w:p>
      <w:pPr>
        <w:numPr>
          <w:ilvl w:val="0"/>
          <w:numId w:val="1002"/>
        </w:numPr>
        <w:pStyle w:val="Compact"/>
      </w:pPr>
      <w:r>
        <w:rPr>
          <w:bCs/>
          <w:b/>
        </w:rPr>
        <w:t xml:space="preserve">For Educational Institutions:</w:t>
      </w:r>
      <w:r>
        <w:t xml:space="preserve"> </w:t>
      </w:r>
      <w:r>
        <w:t xml:space="preserve">Integrate more coursework on EU Digital Policy and Ethical AI into Computer Engineering degrees in Berlin.</w:t>
      </w:r>
    </w:p>
    <w:p>
      <w:pPr>
        <w:numPr>
          <w:ilvl w:val="0"/>
          <w:numId w:val="1002"/>
        </w:numPr>
        <w:pStyle w:val="Compact"/>
      </w:pPr>
      <w:r>
        <w:rPr>
          <w:bCs/>
          <w:b/>
        </w:rPr>
        <w:t xml:space="preserve">For Companies:</w:t>
      </w:r>
      <w:r>
        <w:br/>
      </w:r>
      <w:r>
        <w:t xml:space="preserve">Invest in continuous training for engineers regarding GDPR updates and the new EU AI Act.</w:t>
      </w:r>
      <w:r>
        <w:br/>
      </w:r>
      <w:r>
        <w:t xml:space="preserve">Promote sustainable coding practices to align with Germany’s climate goals.</w:t>
      </w:r>
      <w:r>
        <w:br/>
      </w:r>
      <w:r>
        <w:t xml:space="preserve">Foster diverse teams to enhance innovation, leveraging Berlin’s international character.</w:t>
      </w:r>
    </w:p>
    <w:p>
      <w:pPr>
        <w:numPr>
          <w:ilvl w:val="0"/>
          <w:numId w:val="1002"/>
        </w:numPr>
        <w:pStyle w:val="Compact"/>
      </w:pPr>
      <w:r>
        <w:rPr>
          <w:bCs/>
          <w:b/>
        </w:rPr>
        <w:t xml:space="preserve">For Policy Makers:</w:t>
      </w:r>
      <w:r>
        <w:br/>
      </w:r>
      <w:r>
        <w:t xml:space="preserve">Streamline visa processes for high-skilled Computer Engineers from non-EU countries to address labor shortages.</w:t>
      </w:r>
      <w:r>
        <w:br/>
      </w:r>
      <w:r>
        <w:t xml:space="preserve">Increase funding for R&amp;D in hardware engineering to reduce reliance on foreign tech infrastructure.</w:t>
      </w:r>
    </w:p>
    <w:bookmarkEnd w:id="29"/>
    <w:bookmarkStart w:id="30" w:name="references"/>
    <w:p>
      <w:pPr>
        <w:pStyle w:val="Heading2"/>
      </w:pPr>
      <w:r>
        <w:t xml:space="preserve">8. References</w:t>
      </w:r>
    </w:p>
    <w:p>
      <w:pPr>
        <w:pStyle w:val="FirstParagraph"/>
      </w:pPr>
      <w:r>
        <w:rPr>
          <w:iCs/>
          <w:i/>
        </w:rPr>
        <w:t xml:space="preserve">(Note: In a full academic submission, detailed citations would follow APA or IEEE format. Below are representative sources for this Lab Report context.)</w:t>
      </w:r>
    </w:p>
    <w:p>
      <w:pPr>
        <w:numPr>
          <w:ilvl w:val="0"/>
          <w:numId w:val="1003"/>
        </w:numPr>
        <w:pStyle w:val="Compact"/>
      </w:pPr>
      <w:r>
        <w:t xml:space="preserve">Bundesministerium für Wirtschaft und Klimaschutz. (2023). *Digital Strategy for Germany*. Berlin: BMWK.</w:t>
      </w:r>
    </w:p>
    <w:p>
      <w:pPr>
        <w:numPr>
          <w:ilvl w:val="0"/>
          <w:numId w:val="1003"/>
        </w:numPr>
        <w:pStyle w:val="Compact"/>
      </w:pPr>
      <w:r>
        <w:t xml:space="preserve">Verein Deutscher Ingenieure. (2022). *Guidelines for Ethical Engineering Practices*. Düsseldorf: VDI.</w:t>
      </w:r>
    </w:p>
    <w:p>
      <w:pPr>
        <w:numPr>
          <w:ilvl w:val="0"/>
          <w:numId w:val="1003"/>
        </w:numPr>
        <w:pStyle w:val="Compact"/>
      </w:pPr>
      <w:r>
        <w:t xml:space="preserve">TU Berlin Department of Computer Science. (2023). *Annual Report on AI Research and Infrastructure*. Berlin: TU Press.</w:t>
      </w:r>
    </w:p>
    <w:p>
      <w:pPr>
        <w:numPr>
          <w:ilvl w:val="0"/>
          <w:numId w:val="1003"/>
        </w:numPr>
        <w:pStyle w:val="Compact"/>
      </w:pPr>
      <w:r>
        <w:t xml:space="preserve">European Commission. (2018). *General Data Protection Regulation (GDPR)*. Brussels: EU Publications Office.</w:t>
      </w:r>
    </w:p>
    <w:p>
      <w:pPr>
        <w:numPr>
          <w:ilvl w:val="0"/>
          <w:numId w:val="1003"/>
        </w:numPr>
        <w:pStyle w:val="Compact"/>
      </w:pPr>
      <w:r>
        <w:t xml:space="preserve">Berlin Partner for Business and Technology GmbH. (2023). *Berlin Tech City Report*. Berlin: Berlin Partner.</w:t>
      </w:r>
    </w:p>
    <w:p>
      <w:pPr>
        <w:pStyle w:val="FirstParagraph"/>
      </w:pPr>
      <w:r>
        <w:t xml:space="preserve">End of Lab Report</w:t>
      </w:r>
      <w:r>
        <w:br/>
      </w:r>
      <w:r>
        <w:t xml:space="preserve">Prepared in Germany Berlin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Practices in Germany Berlin</dc:title>
  <dc:creator/>
  <dc:language>en</dc:language>
  <cp:keywords/>
  <dcterms:created xsi:type="dcterms:W3CDTF">2026-07-29T01:15:29Z</dcterms:created>
  <dcterms:modified xsi:type="dcterms:W3CDTF">2026-07-29T01:15:29Z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