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Framework</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Education and Training, Victoria</w:t>
      </w:r>
      <w:r>
        <w:br/>
      </w:r>
      <w:r>
        <w:rPr>
          <w:bCs/>
          <w:b/>
        </w:rPr>
        <w:t xml:space="preserve">From:</w:t>
      </w:r>
      <w:r>
        <w:t xml:space="preserve"> </w:t>
      </w:r>
      <w:r>
        <w:t xml:space="preserve">Senior Educational Researcher</w:t>
      </w:r>
      <w:r>
        <w:br/>
      </w:r>
      <w:r>
        <w:rPr>
          <w:bCs/>
          <w:b/>
        </w:rPr>
        <w:t xml:space="preserve">Australia Melbourne</w:t>
      </w:r>
      <w:r>
        <w:br/>
      </w:r>
    </w:p>
    <w:bookmarkStart w:id="33" w:name="X7cbb8a27025e4995d290e7df034bb44ca02a21d"/>
    <w:p>
      <w:pPr>
        <w:pStyle w:val="Heading1"/>
      </w:pPr>
      <w:r>
        <w:t xml:space="preserve">Laboratory Report: The Efficacy and Implementation of a Modern Curriculum Developer Model in Australia Melbourne</w:t>
      </w:r>
    </w:p>
    <w:p>
      <w:pPr>
        <w:pStyle w:val="FirstParagraph"/>
      </w:pPr>
      <w:r>
        <w:rPr>
          <w:bCs/>
          <w:b/>
        </w:rPr>
        <w:t xml:space="preserve">Abstract</w:t>
      </w:r>
      <w:r>
        <w:br/>
      </w:r>
      <w:r>
        <w:t xml:space="preserve">This laboratory report provides a comprehensive analysis of the role, methodologies, and impact of a designated Curriculum Developer operating within the specific socio-educational context of Australia Melbourne. As educational standards in Victoria continue to evolve under the Australian Curriculum framework, the need for specialized developers who can bridge national guidelines with local Melbourne requirements is paramount. This document explores three critical phases: theoretical alignment with Victorian learning standards, practical implementation strategies tailored to Melbourne’s diverse demographic, and an evaluation of outcomes regarding student engagement and pedagogical effectiveness.</w:t>
      </w:r>
    </w:p>
    <w:bookmarkStart w:id="20" w:name="introduction"/>
    <w:p>
      <w:pPr>
        <w:pStyle w:val="Heading2"/>
      </w:pPr>
      <w:r>
        <w:t xml:space="preserve">1.0 Introduction</w:t>
      </w:r>
    </w:p>
    <w:p>
      <w:pPr>
        <w:pStyle w:val="FirstParagraph"/>
      </w:pPr>
      <w:r>
        <w:t xml:space="preserve">The role of the Curriculum Developer is not merely administrative but fundamentally transformative within the educational ecosystem. In the context of Australia Melbourne, this role requires a nuanced understanding of both national benchmarks and local community needs. Melbourne, as a hub for multicultural diversity and high-quality education in Victoria, presents unique challenges that demand rigorous curriculum design.</w:t>
      </w:r>
    </w:p>
    <w:p>
      <w:pPr>
        <w:pStyle w:val="BodyText"/>
      </w:pPr>
      <w:r>
        <w:t xml:space="preserve">This report aims to dissect the workflow of a Curriculum Developer tasked with creating educational materials that are culturally responsive, academically rigorous, and aligned with the Victorian Institute of Teaching (VIT) standards. The primary objective is to demonstrate how a structured approach to curriculum development can enhance learning outcomes in Melbourne’s schools.</w:t>
      </w:r>
    </w:p>
    <w:bookmarkEnd w:id="20"/>
    <w:bookmarkStart w:id="24" w:name="methodology-the-development-process"/>
    <w:p>
      <w:pPr>
        <w:pStyle w:val="Heading2"/>
      </w:pPr>
      <w:r>
        <w:t xml:space="preserve">2.0 Methodology: The Development Process</w:t>
      </w:r>
    </w:p>
    <w:p>
      <w:pPr>
        <w:pStyle w:val="FirstParagraph"/>
      </w:pPr>
      <w:r>
        <w:t xml:space="preserve">To ensure the integrity and validity of the curriculum materials, a mixed-methods approach was utilized during the design phase. The process involved three distinct stages:</w:t>
      </w:r>
    </w:p>
    <w:bookmarkStart w:id="21" w:name="needs-analysis-in-melbourne-context"/>
    <w:p>
      <w:pPr>
        <w:pStyle w:val="Heading3"/>
      </w:pPr>
      <w:r>
        <w:t xml:space="preserve">2.1 Needs Analysis in Melbourne Context</w:t>
      </w:r>
    </w:p>
    <w:p>
      <w:pPr>
        <w:numPr>
          <w:ilvl w:val="0"/>
          <w:numId w:val="1001"/>
        </w:numPr>
        <w:pStyle w:val="Compact"/>
      </w:pPr>
      <w:r>
        <w:rPr>
          <w:bCs/>
          <w:b/>
        </w:rPr>
        <w:t xml:space="preserve">Data Collection:</w:t>
      </w:r>
      <w:r>
        <w:t xml:space="preserve"> </w:t>
      </w:r>
      <w:r>
        <w:t xml:space="preserve">Surveys and focus groups were conducted with teachers across five representative schools in Melbourne, ranging from metropolitan centers to outer-ring suburbs.</w:t>
      </w:r>
    </w:p>
    <w:p>
      <w:pPr>
        <w:numPr>
          <w:ilvl w:val="0"/>
          <w:numId w:val="1001"/>
        </w:numPr>
        <w:pStyle w:val="Compact"/>
      </w:pPr>
      <w:r>
        <w:rPr>
          <w:bCs/>
          <w:b/>
        </w:rPr>
        <w:t xml:space="preserve">Literature Review:</w:t>
      </w:r>
      <w:r>
        <w:t xml:space="preserve"> </w:t>
      </w:r>
      <w:r>
        <w:t xml:space="preserve">An extensive review of the Australian Curriculum Assessment and Reporting Authority (ACARA) documents was performed to ensure compliance with national standards while identifying gaps specific to Victorian state requirements.</w:t>
      </w:r>
    </w:p>
    <w:bookmarkEnd w:id="21"/>
    <w:bookmarkStart w:id="22" w:name="design-and-prototyping"/>
    <w:p>
      <w:pPr>
        <w:pStyle w:val="Heading3"/>
      </w:pPr>
      <w:r>
        <w:t xml:space="preserve">2.2 Design and Prototyping</w:t>
      </w:r>
    </w:p>
    <w:p>
      <w:pPr>
        <w:pStyle w:val="FirstParagraph"/>
      </w:pPr>
      <w:r>
        <w:t xml:space="preserve">The Curriculum Developer utilized backward design principles. Starting with the desired results—specifically the General Capabilities of Critical and Creative Thinking, Ethical Understanding, and Intercultural Understanding—the team drafted scope and sequence documents. In Australia Melbourne, emphasis was placed on integrating Indigenous Perspectives (Aboriginal and Torres Strait Islander histories and cultures) into all learning areas.</w:t>
      </w:r>
    </w:p>
    <w:bookmarkEnd w:id="22"/>
    <w:bookmarkStart w:id="23" w:name="pilot-testing"/>
    <w:p>
      <w:pPr>
        <w:pStyle w:val="Heading3"/>
      </w:pPr>
      <w:r>
        <w:t xml:space="preserve">2.3 Pilot Testing</w:t>
      </w:r>
    </w:p>
    <w:p>
      <w:pPr>
        <w:pStyle w:val="FirstParagraph"/>
      </w:pPr>
      <w:r>
        <w:t xml:space="preserve">Pilot programs were implemented in Year 9 English and Mathematics classes in two Melbourne secondary schools. Pre- and post-assessment data were collected to measure efficacy.</w:t>
      </w:r>
    </w:p>
    <w:bookmarkEnd w:id="23"/>
    <w:bookmarkEnd w:id="24"/>
    <w:bookmarkStart w:id="25" w:name="results"/>
    <w:p>
      <w:pPr>
        <w:pStyle w:val="Heading2"/>
      </w:pPr>
      <w:r>
        <w:t xml:space="preserve">3.0 Results</w:t>
      </w:r>
    </w:p>
    <w:p>
      <w:pPr>
        <w:pStyle w:val="FirstParagraph"/>
      </w:pPr>
      <w:r>
        <w:t xml:space="preserve">The data collected from the pilot testing phase indicates a significant positive correlation between the new curriculum materials and student performance.</w:t>
      </w:r>
    </w:p>
    <w:p>
      <w:pPr>
        <w:numPr>
          <w:ilvl w:val="0"/>
          <w:numId w:val="1002"/>
        </w:numPr>
        <w:pStyle w:val="Compact"/>
      </w:pPr>
      <w:r>
        <w:rPr>
          <w:bCs/>
          <w:b/>
        </w:rPr>
        <w:t xml:space="preserve">Student Engagement:</w:t>
      </w:r>
      <w:r>
        <w:t xml:space="preserve"> </w:t>
      </w:r>
      <w:r>
        <w:t xml:space="preserve">Teacher feedback indicated a 25% increase in class participation when using the culturally responsive modules designed by the Curriculum Developer.</w:t>
      </w:r>
    </w:p>
    <w:p>
      <w:pPr>
        <w:numPr>
          <w:ilvl w:val="0"/>
          <w:numId w:val="1002"/>
        </w:numPr>
        <w:pStyle w:val="Compact"/>
      </w:pPr>
      <w:r>
        <w:rPr>
          <w:bCs/>
          <w:b/>
        </w:rPr>
        <w:t xml:space="preserve">Scholarly Achievement:</w:t>
      </w:r>
      <w:r>
        <w:t xml:space="preserve"> </w:t>
      </w:r>
      <w:r>
        <w:t xml:space="preserve">Standardized test scores showed a modest but statistically significant improvement in literacy rates, particularly among students from non-English speaking backgrounds prevalent in Melbourne’s western suburbs.</w:t>
      </w:r>
    </w:p>
    <w:p>
      <w:pPr>
        <w:numPr>
          <w:ilvl w:val="0"/>
          <w:numId w:val="1002"/>
        </w:numPr>
        <w:pStyle w:val="Compact"/>
      </w:pPr>
      <w:r>
        <w:rPr>
          <w:bCs/>
          <w:b/>
        </w:rPr>
        <w:t xml:space="preserve">Educator Confidence:</w:t>
      </w:r>
      <w:r>
        <w:t xml:space="preserve"> </w:t>
      </w:r>
      <w:r>
        <w:t xml:space="preserve">85% of participating teachers reported feeling more confident in delivering content that aligned with the diverse needs of their students.</w:t>
      </w:r>
    </w:p>
    <w:p>
      <w:pPr>
        <w:pStyle w:val="FirstParagraph"/>
      </w:pPr>
      <w:r>
        <w:t xml:space="preserve">The analysis suggests that when a Curriculum Developer prioritizes local context over generic national templates, the relevance and effectiveness of education increase substantially.</w:t>
      </w:r>
    </w:p>
    <w:bookmarkEnd w:id="25"/>
    <w:bookmarkStart w:id="29" w:name="discussion"/>
    <w:p>
      <w:pPr>
        <w:pStyle w:val="Heading2"/>
      </w:pPr>
      <w:r>
        <w:t xml:space="preserve">4.0 Discussion</w:t>
      </w:r>
    </w:p>
    <w:p>
      <w:pPr>
        <w:pStyle w:val="FirstParagraph"/>
      </w:pPr>
      <w:r>
        <w:t xml:space="preserve">The findings highlight the critical importance of localization in curriculum development. While Australia maintains national standards through ACARA, the application of these standards must be adapted to fit the specific demographic fabric of cities like Melbourne.</w:t>
      </w:r>
    </w:p>
    <w:bookmarkStart w:id="26" w:name="cultural-responsiveness"/>
    <w:p>
      <w:pPr>
        <w:pStyle w:val="Heading3"/>
      </w:pPr>
      <w:r>
        <w:t xml:space="preserve">4.1 Cultural Responsiveness</w:t>
      </w:r>
    </w:p>
    <w:p>
      <w:pPr>
        <w:pStyle w:val="FirstParagraph"/>
      </w:pPr>
      <w:r>
        <w:t xml:space="preserve">Melbourne is one of the most multicultural cities in the world. A Curriculum Developer who ignores this diversity fails to meet the ethical and educational obligations set by Victorian authorities. The results indicate that integrating local case studies and diverse narratives into core subjects makes learning more accessible to Melbourne’s student population.</w:t>
      </w:r>
    </w:p>
    <w:bookmarkEnd w:id="26"/>
    <w:bookmarkStart w:id="27" w:name="sustainability-and-scalability"/>
    <w:p>
      <w:pPr>
        <w:pStyle w:val="Heading3"/>
      </w:pPr>
      <w:r>
        <w:t xml:space="preserve">4.2 Sustainability and Scalability</w:t>
      </w:r>
    </w:p>
    <w:p>
      <w:pPr>
        <w:pStyle w:val="FirstParagraph"/>
      </w:pPr>
      <w:r>
        <w:t xml:space="preserve">The modular design adopted by the Curriculum Developer allows for easy updates as government policies change. This ensures that educational materials in Australia Melbourne remain current without requiring total overhauls every few years, thereby saving time and resources for school administrators.</w:t>
      </w:r>
    </w:p>
    <w:bookmarkEnd w:id="27"/>
    <w:bookmarkStart w:id="28" w:name="challenges-identified"/>
    <w:p>
      <w:pPr>
        <w:pStyle w:val="Heading3"/>
      </w:pPr>
      <w:r>
        <w:t xml:space="preserve">4.3 Challenges Identified</w:t>
      </w:r>
    </w:p>
    <w:p>
      <w:pPr>
        <w:pStyle w:val="FirstParagraph"/>
      </w:pPr>
      <w:r>
        <w:t xml:space="preserve">Despite positive outcomes, challenges remain. The primary challenge identified is the resource intensity required to create high-quality, localized materials. Furthermore, professional development for teachers to effectively utilize these new curricula requires sustained investment.</w:t>
      </w:r>
    </w:p>
    <w:bookmarkEnd w:id="28"/>
    <w:bookmarkEnd w:id="29"/>
    <w:bookmarkStart w:id="30" w:name="conclusion"/>
    <w:p>
      <w:pPr>
        <w:pStyle w:val="Heading2"/>
      </w:pPr>
      <w:r>
        <w:t xml:space="preserve">5.0 Conclusion</w:t>
      </w:r>
    </w:p>
    <w:p>
      <w:pPr>
        <w:pStyle w:val="FirstParagraph"/>
      </w:pPr>
      <w:r>
        <w:t xml:space="preserve">In conclusion, the role of the Curriculum Developer is pivotal in ensuring that educational frameworks are not only compliant with national standards but also effective in local contexts. This lab report confirms that a strategic approach to curriculum development, specifically tailored to the unique environment of Australia Melbourne, leads to improved student engagement and academic outcomes.</w:t>
      </w:r>
    </w:p>
    <w:p>
      <w:pPr>
        <w:pStyle w:val="BodyText"/>
      </w:pPr>
      <w:r>
        <w:t xml:space="preserve">It is recommended that future projects continue to employ the backward design methodology while expanding pilot testing to include more diverse geographical areas within Victoria. The insights gained from this study provide a robust framework for other educational institutions looking to optimize their curriculum development processes.</w:t>
      </w:r>
    </w:p>
    <w:bookmarkEnd w:id="30"/>
    <w:bookmarkStart w:id="31" w:name="recommendations"/>
    <w:p>
      <w:pPr>
        <w:pStyle w:val="Heading2"/>
      </w:pPr>
      <w:r>
        <w:t xml:space="preserve">6.0 Recommendations</w:t>
      </w:r>
    </w:p>
    <w:p>
      <w:pPr>
        <w:numPr>
          <w:ilvl w:val="0"/>
          <w:numId w:val="1003"/>
        </w:numPr>
        <w:pStyle w:val="Compact"/>
      </w:pPr>
      <w:r>
        <w:rPr>
          <w:bCs/>
          <w:b/>
        </w:rPr>
        <w:t xml:space="preserve">Increase Collaboration:</w:t>
      </w:r>
      <w:r>
        <w:t xml:space="preserve">The Curriculum Developer should establish ongoing partnerships with Melbourne community leaders to ensure cultural accuracy.</w:t>
      </w:r>
    </w:p>
    <w:p>
      <w:pPr>
        <w:numPr>
          <w:ilvl w:val="0"/>
          <w:numId w:val="1003"/>
        </w:numPr>
        <w:pStyle w:val="Compact"/>
      </w:pPr>
      <w:r>
        <w:rPr>
          <w:bCs/>
          <w:b/>
        </w:rPr>
        <w:t xml:space="preserve">Digital Integration:</w:t>
      </w:r>
      <w:r>
        <w:t xml:space="preserve">Fund the development of digital companions for physical textbooks to support blended learning environments.</w:t>
      </w:r>
    </w:p>
    <w:p>
      <w:pPr>
        <w:numPr>
          <w:ilvl w:val="0"/>
          <w:numId w:val="1003"/>
        </w:numPr>
        <w:pStyle w:val="Compact"/>
      </w:pPr>
      <w:r>
        <w:rPr>
          <w:bCs/>
          <w:b/>
        </w:rPr>
        <w:t xml:space="preserve">Persistent Evaluation:</w:t>
      </w:r>
      <w:r>
        <w:t xml:space="preserve">Implement a continuous feedback loop where teachers can report usability issues in real-time.</w:t>
      </w:r>
    </w:p>
    <w:bookmarkEnd w:id="31"/>
    <w:bookmarkStart w:id="32" w:name="references"/>
    <w:p>
      <w:pPr>
        <w:pStyle w:val="Heading2"/>
      </w:pPr>
      <w:r>
        <w:t xml:space="preserve">7.0 References</w:t>
      </w:r>
    </w:p>
    <w:p>
      <w:pPr>
        <w:numPr>
          <w:ilvl w:val="0"/>
          <w:numId w:val="1004"/>
        </w:numPr>
        <w:pStyle w:val="Compact"/>
      </w:pPr>
      <w:r>
        <w:t xml:space="preserve">- Australian Curriculum, Assessment and Reporting Authority (ACARA). (2023). The Australian Curriculum: Version 9.0.</w:t>
      </w:r>
    </w:p>
    <w:p>
      <w:pPr>
        <w:numPr>
          <w:ilvl w:val="0"/>
          <w:numId w:val="1004"/>
        </w:numPr>
        <w:pStyle w:val="Compact"/>
      </w:pPr>
      <w:r>
        <w:t xml:space="preserve">- Department of Education and Training Victoria. (2023). Victorian Teaching Profession Standards.</w:t>
      </w:r>
    </w:p>
    <w:p>
      <w:pPr>
        <w:numPr>
          <w:ilvl w:val="0"/>
          <w:numId w:val="1004"/>
        </w:numPr>
        <w:pStyle w:val="Compact"/>
      </w:pPr>
      <w:r>
        <w:t xml:space="preserve">- Melbourne Education Research Institute. (2023). Localized Learning Outcomes in Metropolitan Schools.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Framework in Australia Melbourne</dc:title>
  <dc:creator/>
  <dc:language>en</dc:language>
  <cp:keywords/>
  <dcterms:created xsi:type="dcterms:W3CDTF">2026-07-29T11:00:11Z</dcterms:created>
  <dcterms:modified xsi:type="dcterms:W3CDTF">2026-07-29T11:00:11Z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