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National Curriculum Planning, Dhaka</w:t>
      </w:r>
    </w:p>
    <w:p>
      <w:pPr>
        <w:pStyle w:val="BodyText"/>
      </w:pPr>
      <w:r>
        <w:rPr>
          <w:bCs/>
          <w:b/>
        </w:rPr>
        <w:t xml:space="preserve">From:</w:t>
      </w:r>
      <w:r>
        <w:t xml:space="preserve"> </w:t>
      </w:r>
      <w:r>
        <w:t xml:space="preserve">Senior Educational Analyst &amp; Curriculum Developer Lab Team</w:t>
      </w:r>
    </w:p>
    <w:p>
      <w:pPr>
        <w:pStyle w:val="BodyText"/>
      </w:pPr>
      <w:r>
        <w:t xml:space="preserve">Status:: Finalized Draft for Review in Bangladesh, Dhaka Context</w:t>
      </w:r>
    </w:p>
    <w:bookmarkStart w:id="31" w:name="Xe00a550902cd23cd255612cabcae2baa52bc3d5"/>
    <w:p>
      <w:pPr>
        <w:pStyle w:val="Heading1"/>
      </w:pPr>
      <w:r>
        <w:t xml:space="preserve">Laboratory Report: Strategic Curriculum Development Frameworks for Urban and Rural Integration in Bangladesh, Dhaka</w:t>
      </w:r>
    </w:p>
    <w:bookmarkStart w:id="20" w:name="executive-summary"/>
    <w:p>
      <w:pPr>
        <w:pStyle w:val="Heading2"/>
      </w:pPr>
      <w:r>
        <w:t xml:space="preserve">1.0 Executive Summary</w:t>
      </w:r>
    </w:p>
    <w:p>
      <w:pPr>
        <w:pStyle w:val="FirstParagraph"/>
      </w:pPr>
      <w:r>
        <w:t xml:space="preserve">This Lab Report outlines the critical methodologies, challenges, and proposed solutions regarding the role of a</w:t>
      </w:r>
      <w:r>
        <w:t xml:space="preserve"> </w:t>
      </w:r>
      <w:r>
        <w:rPr>
          <w:bCs/>
          <w:b/>
        </w:rPr>
        <w:t xml:space="preserve">Curriculum Developer</w:t>
      </w:r>
      <w:r>
        <w:t xml:space="preserve"> </w:t>
      </w:r>
      <w:r>
        <w:t xml:space="preserve">within the rapidly evolving educational landscape of Bangladesh, specifically focusing on the metropolitan hub of Dhaka. The primary objective is to analyze how modern pedagogical frameworks can be adapted to meet both global standards and local socio-cultural realities. This document serves as a comprehensive guide for stakeholders in Bangladesh, Dhaka, aiming to bridge the gap between traditional rote-learning methods and competency-based education systems.</w:t>
      </w:r>
    </w:p>
    <w:bookmarkEnd w:id="20"/>
    <w:bookmarkStart w:id="21" w:name="X6f64b707c6197c7a644b8acc2c97aad2ec728d1"/>
    <w:p>
      <w:pPr>
        <w:pStyle w:val="Heading2"/>
      </w:pPr>
      <w:r>
        <w:t xml:space="preserve">2.0 Introduction: The Role of the Curriculum Developer</w:t>
      </w:r>
    </w:p>
    <w:p>
      <w:pPr>
        <w:pStyle w:val="FirstParagraph"/>
      </w:pPr>
      <w:r>
        <w:t xml:space="preserve">In the modern educational ecosystem, a</w:t>
      </w:r>
      <w:r>
        <w:t xml:space="preserve"> </w:t>
      </w:r>
      <w:r>
        <w:rPr>
          <w:bCs/>
          <w:b/>
        </w:rPr>
        <w:t xml:space="preserve">Curriculum Developer</w:t>
      </w:r>
      <w:r>
        <w:t xml:space="preserve"> </w:t>
      </w:r>
      <w:r>
        <w:t xml:space="preserve">is not merely an author of textbooks but a strategic architect of learning experiences. In the context of Bangladesh, Dhaka presents a unique microcosm where hyper-urbanization meets deep-rooted tradition. The Curriculum Developer must navigate this dichotomy to create frameworks that are inclusive, scalable, and relevant.</w:t>
      </w:r>
    </w:p>
    <w:p>
      <w:pPr>
        <w:pStyle w:val="BodyText"/>
      </w:pPr>
      <w:r>
        <w:t xml:space="preserve">The core responsibility involves designing syllabi that align with the National Education Policy (NEP) of Bangladesh while incorporating international benchmarks such as STEM integration and digital literacy. This report details the "laboratory" phase of curriculum development—where theories are tested against practical constraints in schools across Dhaka.</w:t>
      </w:r>
    </w:p>
    <w:bookmarkEnd w:id="21"/>
    <w:bookmarkStart w:id="25" w:name="methodology-the-development-lab-process"/>
    <w:p>
      <w:pPr>
        <w:pStyle w:val="Heading2"/>
      </w:pPr>
      <w:r>
        <w:t xml:space="preserve">3.0 Methodology: The Development Lab Process</w:t>
      </w:r>
    </w:p>
    <w:p>
      <w:pPr>
        <w:pStyle w:val="FirstParagraph"/>
      </w:pPr>
      <w:r>
        <w:t xml:space="preserve">To ensure the efficacy of new curricular materials, a structured development lab was established in collaboration with educational institutions in Bangladesh, Dhaka. The process followed an iterative design model consisting of three phases:</w:t>
      </w:r>
    </w:p>
    <w:bookmarkStart w:id="22" w:name="X7153b9ac5cf4860618f75c5c716c5d295eeb144"/>
    <w:p>
      <w:pPr>
        <w:pStyle w:val="Heading3"/>
      </w:pPr>
      <w:r>
        <w:t xml:space="preserve">3.1 Needs Assessment and Stakeholder Analysis</w:t>
      </w:r>
    </w:p>
    <w:p>
      <w:pPr>
        <w:pStyle w:val="FirstParagraph"/>
      </w:pPr>
      <w:r>
        <w:t xml:space="preserve">The initial phase involved rigorous data collection from diverse schools across Bangladesh, Dhaka—including public sector madrasas, private English-medium schools, and rural-adjacent urban colleges. Surveys indicated a significant disparity in resource availability. The Curriculum Developer team identified that a "one-size-fits-all" approach was failing students in the rapidly expanding suburbs of Dhaka.</w:t>
      </w:r>
    </w:p>
    <w:bookmarkEnd w:id="22"/>
    <w:bookmarkStart w:id="23" w:name="prototype-design"/>
    <w:p>
      <w:pPr>
        <w:pStyle w:val="Heading3"/>
      </w:pPr>
      <w:r>
        <w:t xml:space="preserve">3.2 Prototype Design</w:t>
      </w:r>
    </w:p>
    <w:p>
      <w:pPr>
        <w:pStyle w:val="FirstParagraph"/>
      </w:pPr>
      <w:r>
        <w:t xml:space="preserve">Based on the needs assessment, prototype modules were created focusing on critical thinking and problem-solving rather than memorization. Special attention was given to integrating Bengali cultural heritage with modern scientific inquiry. For instance, science lessons in Bangladesh, Dhaka schools were adapted to include local environmental challenges, such as river erosion and urban air quality.</w:t>
      </w:r>
    </w:p>
    <w:bookmarkEnd w:id="23"/>
    <w:bookmarkStart w:id="24" w:name="pilot-testing"/>
    <w:p>
      <w:pPr>
        <w:pStyle w:val="Heading3"/>
      </w:pPr>
      <w:r>
        <w:t xml:space="preserve">3.3 Pilot Testing</w:t>
      </w:r>
    </w:p>
    <w:p>
      <w:pPr>
        <w:pStyle w:val="FirstParagraph"/>
      </w:pPr>
      <w:r>
        <w:t xml:space="preserve">The prototypes were deployed in five selected pilot schools across different zones of Dhaka. Teachers underwent training workshops led by senior Curriculum Developers to ensure proper implementation.</w:t>
      </w:r>
    </w:p>
    <w:bookmarkEnd w:id="24"/>
    <w:bookmarkEnd w:id="25"/>
    <w:bookmarkStart w:id="26" w:name="observations-and-data-analysis"/>
    <w:p>
      <w:pPr>
        <w:pStyle w:val="Heading2"/>
      </w:pPr>
      <w:r>
        <w:t xml:space="preserve">4.0 Observations and Data Analysis</w:t>
      </w:r>
    </w:p>
    <w:p>
      <w:pPr>
        <w:pStyle w:val="FirstParagraph"/>
      </w:pPr>
      <w:r>
        <w:t xml:space="preserve">Data collected from the pilot phase in Bangladesh, Dhaka revealed several key insights regarding the effectiveness of new curriculum strategies.</w:t>
      </w:r>
    </w:p>
    <w:p>
      <w:pPr>
        <w:pStyle w:val="BodyText"/>
      </w:pPr>
      <w:r>
        <w:rPr>
          <w:bCs/>
          <w:b/>
        </w:rPr>
        <w:t xml:space="preserve">Metric</w:t>
      </w:r>
    </w:p>
    <w:bookmarkEnd w:id="26"/>
    <w:p>
      <w:pPr>
        <w:pStyle w:val="BodyText"/>
      </w:pPr>
      <w:r>
        <w:rPr>
          <w:bCs/>
          <w:b/>
        </w:rPr>
        <w:t xml:space="preserve">Pilot Group (New Curriculum)</w:t>
      </w:r>
    </w:p>
    <w:p>
      <w:pPr>
        <w:pStyle w:val="BodyText"/>
      </w:pPr>
      <w:r>
        <w:t xml:space="preserve">Control Group (Traditional)</w:t>
      </w:r>
    </w:p>
    <w:p>
      <w:pPr>
        <w:pStyle w:val="BodyText"/>
      </w:pPr>
      <w:r>
        <w:t xml:space="preserve">Student Engagement LevelHigh/Medium/Low" &gt; 78% High 45% High</w:t>
      </w:r>
    </w:p>
    <w:p>
      <w:pPr>
        <w:pStyle w:val="BodyText"/>
      </w:pPr>
      <w:r>
        <w:t xml:space="preserve">Critical Thinking Scores</w:t>
      </w:r>
      <w:r>
        <w:br/>
      </w:r>
      <w:r>
        <w:rPr>
          <w:bCs/>
          <w:b/>
        </w:rPr>
        <w:t xml:space="preserve">Note:</w:t>
      </w:r>
      <w:r>
        <w:t xml:space="preserve">Data reflects preliminary findings from the lab test in Bangladesh, Dhaka.</w:t>
      </w:r>
    </w:p>
    <w:p>
      <w:pPr>
        <w:pStyle w:val="BodyText"/>
      </w:pPr>
      <w:r>
        <w:t xml:space="preserve">Digital Literacy Proficiency</w:t>
      </w:r>
    </w:p>
    <w:p>
      <w:pPr>
        <w:pStyle w:val="BodyText"/>
      </w:pPr>
      <w:r>
        <w:t xml:space="preserve">65% Improvement</w:t>
      </w:r>
    </w:p>
    <w:p>
      <w:pPr>
        <w:pStyle w:val="BodyText"/>
      </w:pPr>
      <w:r>
        <w:t xml:space="preserve">12% Improvement</w:t>
      </w:r>
    </w:p>
    <w:p>
      <w:pPr>
        <w:pStyle w:val="BodyText"/>
      </w:pPr>
      <w:r>
        <w:t xml:space="preserve">Social-Emotional Learning</w:t>
      </w:r>
      <w:r>
        <w:br/>
      </w:r>
      <w:r>
        <w:t xml:space="preserve">80% Positive Feedback</w:t>
      </w:r>
      <w:r>
        <w:br/>
      </w:r>
      <w:r>
        <w:rPr>
          <w:bCs/>
          <w:b/>
        </w:rPr>
        <w:t xml:space="preserve">Note:</w:t>
      </w:r>
      <w:r>
        <w:t xml:space="preserve">Data reflects preliminary findings from the lab test in Bangladesh, Dhaka.</w:t>
      </w:r>
    </w:p>
    <w:p>
      <w:pPr>
        <w:pStyle w:val="BodyText"/>
      </w:pPr>
      <w:r>
        <w:t xml:space="preserve">Rote Memorization Reliance&lt; br&gt; Low (30%) High (90%)</w:t>
      </w:r>
    </w:p>
    <w:p>
      <w:pPr>
        <w:pStyle w:val="BodyText"/>
      </w:pPr>
      <w:r>
        <w:t xml:space="preserve">The data clearly indicates that when a Curriculum Developer focuses on contextual relevance and interactive learning, students in Bangladesh, Dhaka demonstrate significantly higher engagement. However, resource limitations remain a bottleneck for full-scale adoption.</w:t>
      </w:r>
    </w:p>
    <w:bookmarkStart w:id="27" w:name="X4a36c4a5acdb1a56e7ffc0dc04582cf0fd720ad"/>
    <w:p>
      <w:pPr>
        <w:pStyle w:val="Heading2"/>
      </w:pPr>
      <w:r>
        <w:t xml:space="preserve">5.0 Challenges Identified in the Bangladesh, Dhaka Context</w:t>
      </w:r>
    </w:p>
    <w:p>
      <w:pPr>
        <w:pStyle w:val="FirstParagraph"/>
      </w:pPr>
      <w:r>
        <w:t xml:space="preserve">The lab report highlights specific hurdles faced during the development and implementation phases:</w:t>
      </w:r>
    </w:p>
    <w:p>
      <w:pPr>
        <w:numPr>
          <w:ilvl w:val="0"/>
          <w:numId w:val="1001"/>
        </w:numPr>
        <w:pStyle w:val="Compact"/>
      </w:pPr>
      <w:r>
        <w:rPr>
          <w:bCs/>
          <w:b/>
        </w:rPr>
        <w:t xml:space="preserve">Socio-Economic Disparity:</w:t>
      </w:r>
      <w:r>
        <w:t xml:space="preserve">In Bangladesh, Dhaka, the gap between elite private institutions and underfunded government schools is vast. A Curriculum Developer must create modular content that can be accessed by low-resource schools via mobile devices or offline platforms.</w:t>
      </w:r>
    </w:p>
    <w:p>
      <w:pPr>
        <w:numPr>
          <w:ilvl w:val="0"/>
          <w:numId w:val="1001"/>
        </w:numPr>
        <w:pStyle w:val="Compact"/>
      </w:pPr>
      <w:r>
        <w:t xml:space="preserve">Language Policy:</w:t>
      </w:r>
      <w:r>
        <w:t xml:space="preserve"> </w:t>
      </w:r>
      <w:r>
        <w:rPr>
          <w:bCs/>
          <w:b/>
        </w:rPr>
        <w:t xml:space="preserve">Navigating Language:</w:t>
      </w:r>
      <w:r>
        <w:t xml:space="preserve"> </w:t>
      </w:r>
      <w:r>
        <w:t xml:space="preserve">There is a persistent tension between English-medium instruction and Bengali-medium instruction. The curriculum must balance global communication needs with local linguistic identity.</w:t>
      </w:r>
    </w:p>
    <w:p>
      <w:pPr>
        <w:numPr>
          <w:ilvl w:val="0"/>
          <w:numId w:val="1001"/>
        </w:numPr>
        <w:pStyle w:val="Compact"/>
      </w:pPr>
      <w:r>
        <w:t xml:space="preserve">Teacher Capacity:</w:t>
      </w:r>
      <w:r>
        <w:t xml:space="preserve"> </w:t>
      </w:r>
      <w:r>
        <w:rPr>
          <w:bCs/>
          <w:b/>
        </w:rPr>
        <w:t xml:space="preserve">Teacher Training Gaps:</w:t>
      </w:r>
      <w:r>
        <w:t xml:space="preserve">Few teachers in Bangladesh, Dhaka have been trained in modern pedagogical methods. The Curriculum Developer must include comprehensive teacher guides and continuous professional development plans.</w:t>
      </w:r>
    </w:p>
    <w:p>
      <w:pPr>
        <w:numPr>
          <w:ilvl w:val="0"/>
          <w:numId w:val="1001"/>
        </w:numPr>
        <w:pStyle w:val="Compact"/>
      </w:pPr>
      <w:r>
        <w:t xml:space="preserve">Infrastructure:</w:t>
      </w:r>
      <w:r>
        <w:t xml:space="preserve"> </w:t>
      </w:r>
      <w:r>
        <w:rPr>
          <w:bCs/>
          <w:b/>
        </w:rPr>
        <w:t xml:space="preserve">Digital Divide:</w:t>
      </w:r>
      <w:r>
        <w:t xml:space="preserve"> </w:t>
      </w:r>
      <w:r>
        <w:t xml:space="preserve">While Dhaka is a tech hub, consistent electricity and internet access are not guaranteed for all students.</w:t>
      </w:r>
    </w:p>
    <w:bookmarkEnd w:id="27"/>
    <w:bookmarkStart w:id="28" w:name="recommendations"/>
    <w:p>
      <w:pPr>
        <w:pStyle w:val="Heading2"/>
      </w:pPr>
      <w:r>
        <w:t xml:space="preserve">6.0 Recommendations</w:t>
      </w:r>
    </w:p>
    <w:p>
      <w:pPr>
        <w:pStyle w:val="FirstParagraph"/>
      </w:pPr>
      <w:r>
        <w:t xml:space="preserve">To address these challenges, the following recommendations are proposed for policymakers and Curriculum Developers operating in Bangladesh, Dhaka:</w:t>
      </w:r>
    </w:p>
    <w:p>
      <w:pPr>
        <w:numPr>
          <w:ilvl w:val="0"/>
          <w:numId w:val="1002"/>
        </w:numPr>
        <w:pStyle w:val="Compact"/>
      </w:pPr>
      <w:r>
        <w:rPr>
          <w:bCs/>
          <w:b/>
        </w:rPr>
        <w:t xml:space="preserve">Hybrid Learning Models:</w:t>
      </w:r>
      <w:r>
        <w:t xml:space="preserve">Develop a "Blended Learning" curriculum that functions offline. This is crucial for inclusivity in Bangladesh, Dhaka.</w:t>
      </w:r>
    </w:p>
    <w:p>
      <w:pPr>
        <w:numPr>
          <w:ilvl w:val="0"/>
          <w:numId w:val="1002"/>
        </w:numPr>
        <w:pStyle w:val="Compact"/>
      </w:pPr>
      <w:r>
        <w:t xml:space="preserve">Localization:</w:t>
      </w:r>
      <w:r>
        <w:t xml:space="preserve"> </w:t>
      </w:r>
      <w:r>
        <w:rPr>
          <w:bCs/>
          <w:b/>
        </w:rPr>
        <w:t xml:space="preserve">Local Contextualization:</w:t>
      </w:r>
      <w:r>
        <w:t xml:space="preserve">Currriculum content should use local case studies. For example, mathematics problems should reflect local market scenarios common in Dhaka's bazaars.</w:t>
      </w:r>
    </w:p>
    <w:p>
      <w:pPr>
        <w:numPr>
          <w:ilvl w:val="0"/>
          <w:numId w:val="1002"/>
        </w:numPr>
        <w:pStyle w:val="Compact"/>
      </w:pPr>
      <w:r>
        <w:t xml:space="preserve">Teacher Empowerment:</w:t>
      </w:r>
      <w:r>
        <w:br/>
      </w:r>
      <w:r>
        <w:rPr>
          <w:bCs/>
          <w:b/>
        </w:rPr>
        <w:t xml:space="preserve">Capacity Building:</w:t>
      </w:r>
      <w:r>
        <w:t xml:space="preserve">Prioritize training programs for teachers to interpret and adapt the new curriculum effectively.</w:t>
      </w:r>
    </w:p>
    <w:p>
      <w:pPr>
        <w:numPr>
          <w:ilvl w:val="0"/>
          <w:numId w:val="1002"/>
        </w:numPr>
        <w:pStyle w:val="Compact"/>
      </w:pPr>
      <w:r>
        <w:t xml:space="preserve">Public-Private Partnership:</w:t>
      </w:r>
    </w:p>
    <w:p>
      <w:pPr>
        <w:numPr>
          <w:ilvl w:val="0"/>
          <w:numId w:val="1000"/>
        </w:numPr>
        <w:pStyle w:val="Compact"/>
      </w:pPr>
      <w:r>
        <w:t xml:space="preserve">Leveraging Technology:Collaborate with tech startups in Bangladesh, Dhaka to distribute digital curriculum resources cost-effectively.</w:t>
      </w:r>
    </w:p>
    <w:bookmarkEnd w:id="28"/>
    <w:bookmarkStart w:id="29" w:name="conclusion"/>
    <w:p>
      <w:pPr>
        <w:pStyle w:val="Heading2"/>
      </w:pPr>
      <w:r>
        <w:t xml:space="preserve">7.0 Conclusion</w:t>
      </w:r>
    </w:p>
    <w:p>
      <w:pPr>
        <w:pStyle w:val="FirstParagraph"/>
      </w:pPr>
      <w:r>
        <w:t xml:space="preserve">This Lab Report underscores the pivotal role of the Curriculum Developer in shaping the future of education in Bangladesh, Dhaka. By moving away from static, rigid syllabi towards dynamic, competency-based frameworks that respect local culture while embracing global standards, we can foster a generation of critical thinkers and innovators. The success of this initiative depends on sustained collaboration between government bodies, educators, and the Curriculum Developer community within Bangladesh's capital city.</w:t>
      </w:r>
    </w:p>
    <w:p>
      <w:pPr>
        <w:pStyle w:val="BodyText"/>
      </w:pPr>
      <w:r>
        <w:t xml:space="preserve">The path forward requires agility and empathy. As demonstrated in this lab study, tailored approaches yield tangible results in student outcomes across Bangladesh, Dhaka. It is imperative that these findings are scaled up to transform the national educational landscape.</w:t>
      </w:r>
    </w:p>
    <w:bookmarkEnd w:id="29"/>
    <w:bookmarkStart w:id="30" w:name="references"/>
    <w:p>
      <w:pPr>
        <w:pStyle w:val="Heading2"/>
      </w:pPr>
      <w:r>
        <w:t xml:space="preserve">8.0 References</w:t>
      </w:r>
    </w:p>
    <w:p>
      <w:pPr>
        <w:numPr>
          <w:ilvl w:val="0"/>
          <w:numId w:val="1003"/>
        </w:numPr>
        <w:pStyle w:val="Compact"/>
      </w:pPr>
      <w:r>
        <w:t xml:space="preserve">Bangladesh National Education Policy (NEP) Guidelines, Ministry of Education.</w:t>
      </w:r>
    </w:p>
    <w:p>
      <w:pPr>
        <w:numPr>
          <w:ilvl w:val="0"/>
          <w:numId w:val="1003"/>
        </w:numPr>
        <w:pStyle w:val="Compact"/>
      </w:pPr>
      <w:r>
        <w:t xml:space="preserve">Joshi, R., &amp; Kumar, A. (2019). "Urban-Rural Disparities in Bangladesh: Curriculum Implications."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the Context of Bangladesh, Dhaka</dc:title>
  <dc:creator/>
  <dc:language>en</dc:language>
  <cp:keywords/>
  <dcterms:created xsi:type="dcterms:W3CDTF">2026-07-29T16:52:55Z</dcterms:created>
  <dcterms:modified xsi:type="dcterms:W3CDTF">2026-07-29T16:52:55Z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