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Japan</w:t>
      </w:r>
      <w:r>
        <w:t xml:space="preserve"> </w:t>
      </w:r>
      <w:r>
        <w:t xml:space="preserve">Tokyo</w:t>
      </w:r>
    </w:p>
    <w:bookmarkStart w:id="20" w:name="laboratory-report-id-2023-jt-cd"/>
    <w:p>
      <w:pPr>
        <w:pStyle w:val="Heading1"/>
      </w:pPr>
      <w:r>
        <w:t xml:space="preserve">Laboratory Report ID-2023-JT-CD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Advanced Pedagogical Studies</w:t>
      </w:r>
      <w:r>
        <w:br/>
      </w:r>
      <w:r>
        <w:rPr>
          <w:bCs/>
          <w:b/>
        </w:rPr>
        <w:t xml:space="preserve">Focused Region:</w:t>
      </w:r>
      <w:r>
        <w:t xml:space="preserve"> </w:t>
      </w:r>
      <w:r>
        <w:t xml:space="preserve">Japan Tokyo Metropolis</w:t>
      </w:r>
      <w:r>
        <w:br/>
      </w:r>
      <w:r>
        <w:rPr>
          <w:bCs/>
          <w:b/>
        </w:rPr>
        <w:t xml:space="preserve">Title:</w:t>
      </w:r>
      <w:r>
        <w:t xml:space="preserve">Evaluative Framework for the Modern Curriculum Developer in High-Density Urban Educational Environments</w:t>
      </w:r>
    </w:p>
    <w:bookmarkEnd w:id="20"/>
    <w:bookmarkStart w:id="21" w:name="abstract-and-objective"/>
    <w:p>
      <w:pPr>
        <w:pStyle w:val="Heading2"/>
      </w:pPr>
      <w:r>
        <w:t xml:space="preserve">1.0 Abstract and Objective</w:t>
      </w:r>
    </w:p>
    <w:p>
      <w:pPr>
        <w:pStyle w:val="FirstParagraph"/>
      </w:pPr>
      <w:r>
        <w:t xml:space="preserve">This Lab Report serves as a comprehensive analysis of the role, responsibilities, and strategic implementation strategies required by a</w:t>
      </w:r>
      <w:r>
        <w:t xml:space="preserve"> </w:t>
      </w:r>
      <w:r>
        <w:rPr>
          <w:bCs/>
          <w:b/>
        </w:rPr>
        <w:t xml:space="preserve">Curriculum Developer</w:t>
      </w:r>
      <w:r>
        <w:t xml:space="preserve">. The specific geographical context for this study is</w:t>
      </w:r>
      <w:r>
        <w:t xml:space="preserve"> </w:t>
      </w:r>
      <w:r>
        <w:rPr>
          <w:bCs/>
          <w:b/>
        </w:rPr>
        <w:t xml:space="preserve">Japan Tokyo</w:t>
      </w:r>
      <w:r>
        <w:t xml:space="preserve">, a region characterized by unique cultural nuances, high technological integration, and rigorous academic standards. The primary objective of this laboratory assessment is to determine how an effective educational architect can navigate the complex intersection of traditional Japanese pedagogy and modern global learning outcomes within the capital city's diverse school systems.</w:t>
      </w:r>
    </w:p>
    <w:p>
      <w:pPr>
        <w:pStyle w:val="BodyText"/>
      </w:pPr>
      <w:r>
        <w:t xml:space="preserve">The core hypothesis suggests that a successful</w:t>
      </w:r>
      <w:r>
        <w:t xml:space="preserve"> </w:t>
      </w:r>
      <w:r>
        <w:rPr>
          <w:bCs/>
          <w:b/>
        </w:rPr>
        <w:t xml:space="preserve">Curriculum Developer</w:t>
      </w:r>
      <w:r>
        <w:t xml:space="preserve"> </w:t>
      </w:r>
      <w:r>
        <w:t xml:space="preserve">in</w:t>
      </w:r>
      <w:r>
        <w:t xml:space="preserve"> </w:t>
      </w:r>
      <w:r>
        <w:rPr>
          <w:bCs/>
          <w:b/>
        </w:rPr>
        <w:t xml:space="preserve">Japan Tokyo</w:t>
      </w:r>
      <w:r>
        <w:t xml:space="preserve"> </w:t>
      </w:r>
      <w:r>
        <w:t xml:space="preserve">must possess not only academic expertise but also significant cultural intelligence (CQ) to bridge the gap between government-mandated guidelines and localized classroom realities. This report documents the methodological approach, observed challenges, and proposed frameworks for such a professional.</w:t>
      </w:r>
    </w:p>
    <w:bookmarkEnd w:id="21"/>
    <w:bookmarkStart w:id="23" w:name="methodology-and-contextual-analysis"/>
    <w:p>
      <w:pPr>
        <w:pStyle w:val="Heading2"/>
      </w:pPr>
      <w:r>
        <w:t xml:space="preserve">2.0 Methodology and Contextual Analysis</w:t>
      </w:r>
    </w:p>
    <w:p>
      <w:pPr>
        <w:pStyle w:val="FirstParagraph"/>
      </w:pPr>
      <w:r>
        <w:t xml:space="preserve">The methodology employed in this lab report relies on a mixed-methods approach, combining qualitative interviews with existing educators in</w:t>
      </w:r>
      <w:r>
        <w:t xml:space="preserve"> </w:t>
      </w:r>
      <w:r>
        <w:rPr>
          <w:bCs/>
          <w:b/>
        </w:rPr>
        <w:t xml:space="preserve">Japan Tokyo</w:t>
      </w:r>
      <w:r>
        <w:t xml:space="preserve"> </w:t>
      </w:r>
      <w:r>
        <w:t xml:space="preserve">and quantitative analysis of current MEXT (Ministry of Education, Culture, Sports, Science and Technology) guidelines. The role of the</w:t>
      </w:r>
      <w:r>
        <w:t xml:space="preserve"> </w:t>
      </w:r>
      <w:r>
        <w:rPr>
          <w:bCs/>
          <w:b/>
        </w:rPr>
        <w:t xml:space="preserve">Curriculum Developer</w:t>
      </w:r>
      <w:r>
        <w:t xml:space="preserve"> </w:t>
      </w:r>
      <w:r>
        <w:t xml:space="preserve">is deconstructed into four key pillars: Content Alignment, Cultural Localization, Digital Integration, and Assessment Design.</w:t>
      </w:r>
    </w:p>
    <w:bookmarkStart w:id="22" w:name="X6c220d330e8f208394076375e0d1721dce16c0c"/>
    <w:p>
      <w:pPr>
        <w:pStyle w:val="Heading3"/>
      </w:pPr>
      <w:r>
        <w:t xml:space="preserve">2.1 The Geographic Specificity of Japan Tokyo</w:t>
      </w:r>
    </w:p>
    <w:p>
      <w:pPr>
        <w:pStyle w:val="FirstParagraph"/>
      </w:pPr>
      <w:r>
        <w:rPr>
          <w:bCs/>
          <w:b/>
        </w:rPr>
        <w:t xml:space="preserve">Japan Tokyo</w:t>
      </w:r>
      <w:r>
        <w:t xml:space="preserve">Japan Tokyo hosts a high concentration of international schools, bilingual programs, and private academies (juku). Consequently, the</w:t>
      </w:r>
      <w:r>
        <w:t xml:space="preserve"> </w:t>
      </w:r>
      <w:r>
        <w:rPr>
          <w:bCs/>
          <w:b/>
        </w:rPr>
        <w:t xml:space="preserve">Curriculum Developer</w:t>
      </w:r>
      <w:r>
        <w:t xml:space="preserve"> </w:t>
      </w:r>
      <w:r>
        <w:t xml:space="preserve">must account for a student body that is increasingly diverse in linguistic background while maintaining strict adherence to Japanese societal expectations regarding discipline and communal harmony.</w:t>
      </w:r>
    </w:p>
    <w:p>
      <w:pPr>
        <w:pStyle w:val="BodyText"/>
      </w:pPr>
      <w:r>
        <w:t xml:space="preserve">The urban density of</w:t>
      </w:r>
      <w:r>
        <w:t xml:space="preserve"> </w:t>
      </w:r>
      <w:r>
        <w:rPr>
          <w:bCs/>
          <w:b/>
        </w:rPr>
        <w:t xml:space="preserve">Japan Tokyo</w:t>
      </w:r>
      <w:r>
        <w:t xml:space="preserve"> </w:t>
      </w:r>
      <w:r>
        <w:t xml:space="preserve">also implies limited physical resources for outdoor education, necessitating a curriculum that creatively utilizes indoor spaces and virtual reality tools. The</w:t>
      </w:r>
      <w:r>
        <w:t xml:space="preserve"> </w:t>
      </w:r>
      <w:r>
        <w:rPr>
          <w:bCs/>
          <w:b/>
        </w:rPr>
        <w:t xml:space="preserve">Curriculum Developer</w:t>
      </w:r>
      <w:r>
        <w:t xml:space="preserve"> </w:t>
      </w:r>
      <w:r>
        <w:t xml:space="preserve">must therefore prioritize digital literacy and spatially adaptive learning modules.</w:t>
      </w:r>
    </w:p>
    <w:bookmarkEnd w:id="22"/>
    <w:bookmarkEnd w:id="23"/>
    <w:bookmarkStart w:id="27" w:name="Xdb4a0aedd842ccfae62819e0a658bec99ef0756"/>
    <w:p>
      <w:pPr>
        <w:pStyle w:val="Heading2"/>
      </w:pPr>
      <w:r>
        <w:t xml:space="preserve">3.0 Key Findings: The Role of the Curriculum Developer</w:t>
      </w:r>
    </w:p>
    <w:p>
      <w:pPr>
        <w:pStyle w:val="FirstParagraph"/>
      </w:pPr>
      <w:r>
        <w:t xml:space="preserve">Data collected during this laboratory simulation indicates that the</w:t>
      </w:r>
      <w:r>
        <w:t xml:space="preserve"> </w:t>
      </w:r>
      <w:r>
        <w:rPr>
          <w:bCs/>
          <w:b/>
        </w:rPr>
        <w:t xml:space="preserve">Curriculum Developer</w:t>
      </w:r>
      <w:r>
        <w:t xml:space="preserve">Japan Tokyo, functioning simultaneously as an academic architect, a cultural mediator, and a technological integrator.</w:t>
      </w:r>
    </w:p>
    <w:bookmarkStart w:id="24" w:name="X1a1bdd0af80aadac34a5862f4a937f31911a2aa"/>
    <w:p>
      <w:pPr>
        <w:pStyle w:val="Heading3"/>
      </w:pPr>
      <w:r>
        <w:t xml:space="preserve">3.1 Alignment with National Standards vs. Local Autonomy</w:t>
      </w:r>
    </w:p>
    <w:p>
      <w:pPr>
        <w:pStyle w:val="FirstParagraph"/>
      </w:pPr>
      <w:r>
        <w:t xml:space="preserve">In the educational landscape of</w:t>
      </w:r>
      <w:r>
        <w:t xml:space="preserve"> </w:t>
      </w:r>
      <w:r>
        <w:rPr>
          <w:bCs/>
          <w:b/>
        </w:rPr>
        <w:t xml:space="preserve">Japan Tokyo</w:t>
      </w:r>
      <w:r>
        <w:t xml:space="preserve">, national standards set by the MEXT provide a rigid skeleton for education. However, local boards of education in</w:t>
      </w:r>
      <w:r>
        <w:t xml:space="preserve"> </w:t>
      </w:r>
      <w:r>
        <w:rPr>
          <w:bCs/>
          <w:b/>
        </w:rPr>
        <w:t xml:space="preserve">Japan Tokyo</w:t>
      </w:r>
      <w:r>
        <w:t xml:space="preserve"> </w:t>
      </w:r>
      <w:r>
        <w:t xml:space="preserve">allow for varying degrees of autonomy. The</w:t>
      </w:r>
      <w:r>
        <w:t xml:space="preserve"> </w:t>
      </w:r>
      <w:r>
        <w:rPr>
          <w:bCs/>
          <w:b/>
        </w:rPr>
        <w:t xml:space="preserve">Curriculum Developer</w:t>
      </w:r>
      <w:r>
        <w:t xml:space="preserve"> </w:t>
      </w:r>
      <w:r>
        <w:t xml:space="preserve">is tasked with ensuring that all instructional materials comply with these national statutes while allowing teachers in specific schools to adapt content to their local community needs. Failure to balance this dynamic results in curriculum rejection by school administrators.</w:t>
      </w:r>
    </w:p>
    <w:bookmarkEnd w:id="24"/>
    <w:bookmarkStart w:id="25" w:name="cultural-integration-and-soft-skills"/>
    <w:p>
      <w:pPr>
        <w:pStyle w:val="Heading3"/>
      </w:pPr>
      <w:r>
        <w:t xml:space="preserve">3.2 Cultural Integration and Soft Skills</w:t>
      </w:r>
    </w:p>
    <w:p>
      <w:pPr>
        <w:pStyle w:val="FirstParagraph"/>
      </w:pPr>
      <w:r>
        <w:t xml:space="preserve">A critical finding of this lab report is the emphasis on "holistic development" (Satori) within the Japanese educational framework. The</w:t>
      </w:r>
      <w:r>
        <w:t xml:space="preserve"> </w:t>
      </w:r>
      <w:r>
        <w:rPr>
          <w:bCs/>
          <w:b/>
        </w:rPr>
        <w:t xml:space="preserve">Curriculum Developer</w:t>
      </w:r>
      <w:r>
        <w:t xml:space="preserve"> </w:t>
      </w:r>
      <w:r>
        <w:t xml:space="preserve">cannot merely focus on STEM or language acquisition; they must embed values such as responsibility, perseverance (Ganbaru), and group cohesion into the learning objectives. In</w:t>
      </w:r>
      <w:r>
        <w:t xml:space="preserve"> </w:t>
      </w:r>
      <w:r>
        <w:rPr>
          <w:bCs/>
          <w:b/>
        </w:rPr>
        <w:t xml:space="preserve">Japan Tokyo</w:t>
      </w:r>
      <w:r>
        <w:t xml:space="preserve">, where competition is fierce, the curriculum must also address mental health and emotional resilience.</w:t>
      </w:r>
    </w:p>
    <w:bookmarkEnd w:id="25"/>
    <w:bookmarkStart w:id="26" w:name="technological-infusion"/>
    <w:p>
      <w:pPr>
        <w:pStyle w:val="Heading3"/>
      </w:pPr>
      <w:r>
        <w:t xml:space="preserve">3.3 Technological Infusion</w:t>
      </w:r>
    </w:p>
    <w:p>
      <w:pPr>
        <w:pStyle w:val="FirstParagraph"/>
      </w:pPr>
      <w:r>
        <w:t xml:space="preserve">The government of</w:t>
      </w:r>
      <w:r>
        <w:t xml:space="preserve"> </w:t>
      </w:r>
      <w:r>
        <w:rPr>
          <w:bCs/>
          <w:b/>
        </w:rPr>
        <w:t xml:space="preserve">Japan Tokyo</w:t>
      </w:r>
      <w:r>
        <w:t xml:space="preserve"> </w:t>
      </w:r>
      <w:r>
        <w:t xml:space="preserve">has aggressively pushed for "GIGA School" initiatives, aiming to provide one device per student. The</w:t>
      </w:r>
      <w:r>
        <w:t xml:space="preserve"> </w:t>
      </w:r>
      <w:r>
        <w:rPr>
          <w:bCs/>
          <w:b/>
        </w:rPr>
        <w:t xml:space="preserve">Curriculum Developer</w:t>
      </w:r>
      <w:r>
        <w:t xml:space="preserve"> </w:t>
      </w:r>
      <w:r>
        <w:t xml:space="preserve">must design lesson plans that leverage tablets and interactive whiteboards effectively, moving beyond digitized textbooks to true interactive learning. This requires a deep understanding of EdTech tools compatible with the specific network infrastructure found in</w:t>
      </w:r>
      <w:r>
        <w:t xml:space="preserve"> </w:t>
      </w:r>
      <w:r>
        <w:rPr>
          <w:bCs/>
          <w:b/>
        </w:rPr>
        <w:t xml:space="preserve">Japan Tokyo</w:t>
      </w:r>
      <w:r>
        <w:t xml:space="preserve"> </w:t>
      </w:r>
      <w:r>
        <w:t xml:space="preserve">schools.</w:t>
      </w:r>
    </w:p>
    <w:bookmarkEnd w:id="26"/>
    <w:bookmarkEnd w:id="27"/>
    <w:bookmarkStart w:id="28" w:name="data-analysis-competency-matrix"/>
    <w:p>
      <w:pPr>
        <w:pStyle w:val="Heading2"/>
      </w:pPr>
      <w:r>
        <w:t xml:space="preserve">4.0 Data Analysis: Competency Matrix</w:t>
      </w:r>
    </w:p>
    <w:p>
      <w:pPr>
        <w:pStyle w:val="FirstParagraph"/>
      </w:pPr>
      <w:r>
        <w:t xml:space="preserve">The following table outlines the competency requirements identified for a</w:t>
      </w:r>
      <w:r>
        <w:t xml:space="preserve"> </w:t>
      </w:r>
      <w:r>
        <w:rPr>
          <w:bCs/>
          <w:b/>
        </w:rPr>
        <w:t xml:space="preserve">Curriculum Developer</w:t>
      </w:r>
      <w:r>
        <w:t xml:space="preserve"> </w:t>
      </w:r>
      <w:r>
        <w:t xml:space="preserve">operating in this specific region:</w:t>
      </w:r>
    </w:p>
    <w:p>
      <w:pPr>
        <w:pStyle w:val="BodyText"/>
      </w:pPr>
      <w:r>
        <w:t xml:space="preserve">Ccompetency Domain</w:t>
      </w:r>
    </w:p>
    <w:p>
      <w:pPr>
        <w:pStyle w:val="BodyText"/>
      </w:pPr>
      <w:r>
        <w:t xml:space="preserve">Description of Requirement</w:t>
      </w:r>
    </w:p>
    <w:p>
      <w:pPr>
        <w:pStyle w:val="BodyText"/>
      </w:pPr>
      <w:r>
        <w:t xml:space="preserve">Iimportance in Japan Tokyo Context</w:t>
      </w:r>
    </w:p>
    <w:p>
      <w:pPr>
        <w:pStyle w:val="BodyText"/>
      </w:pPr>
      <w:r>
        <w:br/>
      </w:r>
    </w:p>
    <w:p>
      <w:pPr>
        <w:pStyle w:val="BodyText"/>
      </w:pPr>
    </w:p>
    <w:p>
      <w:pPr>
        <w:pStyle w:val="BodyText"/>
      </w:pPr>
      <w:r>
        <w:t xml:space="preserve">Ccompetency Domain</w:t>
      </w:r>
    </w:p>
    <w:p>
      <w:pPr>
        <w:pStyle w:val="BodyText"/>
      </w:pPr>
      <w:r>
        <w:t xml:space="preserve">Description of Requirement</w:t>
      </w:r>
    </w:p>
    <w:p>
      <w:pPr>
        <w:pStyle w:val="BodyText"/>
      </w:pPr>
      <w:r>
        <w:t xml:space="preserve">Iimportance in Japan Tokyo Context</w:t>
      </w:r>
    </w:p>
    <w:p>
      <w:pPr>
        <w:pStyle w:val="BodyText"/>
      </w:pPr>
      <w:r>
        <w:br/>
      </w:r>
    </w:p>
    <w:p>
      <w:pPr>
        <w:pStyle w:val="BodyText"/>
      </w:pPr>
    </w:p>
    <w:p>
      <w:pPr>
        <w:pStyle w:val="BodyText"/>
      </w:pPr>
      <w:r>
        <w:br/>
      </w:r>
    </w:p>
    <w:p>
      <w:pPr>
        <w:pStyle w:val="BodyText"/>
      </w:pPr>
      <w:r>
        <w:t xml:space="preserve">Cultural Intelligence (CQ)</w:t>
      </w:r>
    </w:p>
    <w:p>
      <w:pPr>
        <w:pStyle w:val="BodyText"/>
      </w:pPr>
      <w:r>
        <w:t xml:space="preserve">Ability to interpret Japanese social cues, hierarchy, and indirect communication styles.</w:t>
      </w:r>
    </w:p>
    <w:p>
      <w:pPr>
        <w:pStyle w:val="BodyText"/>
      </w:pPr>
      <w:r>
        <w:t xml:space="preserve">Critical</w:t>
      </w:r>
    </w:p>
    <w:p>
      <w:pPr>
        <w:pStyle w:val="BodyText"/>
      </w:pPr>
      <w:r>
        <w:br/>
      </w:r>
    </w:p>
    <w:p>
      <w:pPr>
        <w:pStyle w:val="BodyText"/>
      </w:pPr>
    </w:p>
    <w:p>
      <w:pPr>
        <w:pStyle w:val="BodyText"/>
      </w:pPr>
      <w:r>
        <w:t xml:space="preserve">MEXT Compliance Knowledge</w:t>
      </w:r>
    </w:p>
    <w:p>
      <w:pPr>
        <w:pStyle w:val="BodyText"/>
      </w:pPr>
      <w:r>
        <w:br/>
      </w:r>
    </w:p>
    <w:p>
      <w:pPr>
        <w:pStyle w:val="BodyText"/>
      </w:pPr>
      <w:r>
        <w:t xml:space="preserve">Regulatory Adherence</w:t>
      </w:r>
    </w:p>
    <w:p>
      <w:pPr>
        <w:pStyle w:val="BodyText"/>
      </w:pPr>
      <w:r>
        <w:t xml:space="preserve">Deep understanding of the Course of Study and examination requirements.</w:t>
      </w:r>
    </w:p>
    <w:p>
      <w:pPr>
        <w:pStyle w:val="BodyText"/>
      </w:pPr>
      <w:r>
        <w:t xml:space="preserve">Vital</w:t>
      </w:r>
    </w:p>
    <w:p>
      <w:pPr>
        <w:pStyle w:val="BodyText"/>
      </w:pPr>
      <w:r>
        <w:br/>
      </w:r>
    </w:p>
    <w:p>
      <w:pPr>
        <w:pStyle w:val="BodyText"/>
      </w:pPr>
    </w:p>
    <w:p>
      <w:pPr>
        <w:pStyle w:val="BodyText"/>
      </w:pPr>
      <w:r>
        <w:t xml:space="preserve">EdTech Integration</w:t>
      </w:r>
    </w:p>
    <w:p>
      <w:pPr>
        <w:pStyle w:val="BodyText"/>
      </w:pPr>
      <w:r>
        <w:t xml:space="preserve">Ability to design digital-first lessons suitable for the GIGA School infrastructure in Japan Tokyo.</w:t>
      </w:r>
    </w:p>
    <w:p>
      <w:pPr>
        <w:pStyle w:val="BodyText"/>
      </w:pPr>
      <w:r>
        <w:br/>
      </w:r>
    </w:p>
    <w:p>
      <w:pPr>
        <w:pStyle w:val="BodyText"/>
      </w:pPr>
    </w:p>
    <w:p>
      <w:pPr>
        <w:pStyle w:val="BodyText"/>
      </w:pPr>
      <w:r>
        <w:t xml:space="preserve">Stakeholder Management</w:t>
      </w:r>
    </w:p>
    <w:p>
      <w:pPr>
        <w:pStyle w:val="BodyText"/>
      </w:pPr>
      <w:r>
        <w:t xml:space="preserve">Managing expectations of parents, board members, and teachers in the competitive Tokyo education market.</w:t>
      </w:r>
    </w:p>
    <w:p>
      <w:pPr>
        <w:pStyle w:val="BodyText"/>
      </w:pPr>
      <w:r>
        <w:br/>
      </w:r>
    </w:p>
    <w:p>
      <w:pPr>
        <w:pStyle w:val="BodyText"/>
      </w:pPr>
    </w:p>
    <w:p>
      <w:pPr>
        <w:pStyle w:val="BodyText"/>
      </w:pPr>
      <w:r>
        <w:t xml:space="preserve">Language Proficiency</w:t>
      </w:r>
    </w:p>
    <w:p>
      <w:pPr>
        <w:pStyle w:val="BodyText"/>
      </w:pPr>
      <w:r>
        <w:t xml:space="preserve">Advanced Japanese language skills (JLPT N2 or higher) are often required for effective collaboration in Japan Tokyo.</w:t>
      </w:r>
    </w:p>
    <w:p>
      <w:pPr>
        <w:pStyle w:val="BodyText"/>
      </w:pPr>
      <w:r>
        <w:br/>
      </w:r>
    </w:p>
    <w:p>
      <w:pPr>
        <w:pStyle w:val="BodyText"/>
      </w:pPr>
    </w:p>
    <w:bookmarkEnd w:id="28"/>
    <w:bookmarkStart w:id="29" w:name="challenges-and-risk-assessment"/>
    <w:p>
      <w:pPr>
        <w:pStyle w:val="Heading2"/>
      </w:pPr>
      <w:r>
        <w:t xml:space="preserve">5.0 Challenges and Risk Assessment</w:t>
      </w:r>
    </w:p>
    <w:p>
      <w:pPr>
        <w:pStyle w:val="FirstParagraph"/>
      </w:pPr>
      <w:r>
        <w:t xml:space="preserve">The laboratory analysis identifies several risks associated with the</w:t>
      </w:r>
      <w:r>
        <w:t xml:space="preserve"> </w:t>
      </w:r>
      <w:r>
        <w:rPr>
          <w:bCs/>
          <w:b/>
        </w:rPr>
        <w:t xml:space="preserve">Curriculum Developer</w:t>
      </w:r>
      <w:r>
        <w:t xml:space="preserve"> </w:t>
      </w:r>
      <w:r>
        <w:t xml:space="preserve">role in</w:t>
      </w:r>
      <w:r>
        <w:t xml:space="preserve"> </w:t>
      </w:r>
      <w:r>
        <w:rPr>
          <w:bCs/>
          <w:b/>
        </w:rPr>
        <w:t xml:space="preserve">Japan Tokyo</w:t>
      </w:r>
      <w:r>
        <w:t xml:space="preserve">.</w:t>
      </w:r>
    </w:p>
    <w:p>
      <w:pPr>
        <w:pStyle w:val="BlockText"/>
      </w:pPr>
      <w:r>
        <w:t xml:space="preserve">"The resistance to change is a significant barrier. In traditional Japanese schools, there is often a preference for proven methods over innovative curricula. The Curriculum Developer must navigate this conservatism carefully."</w:t>
      </w:r>
    </w:p>
    <w:p>
      <w:pPr>
        <w:pStyle w:val="FirstParagraph"/>
      </w:pPr>
      <w:r>
        <w:t xml:space="preserve">Risk factors include:</w:t>
      </w:r>
    </w:p>
    <w:p>
      <w:pPr>
        <w:numPr>
          <w:ilvl w:val="0"/>
          <w:numId w:val="1001"/>
        </w:numPr>
        <w:pStyle w:val="Compact"/>
      </w:pPr>
      <w:r>
        <w:rPr>
          <w:bCs/>
          <w:b/>
        </w:rPr>
        <w:t xml:space="preserve">Bureaucratic Sluggishness:</w:t>
      </w:r>
      <w:r>
        <w:t xml:space="preserve">The approval process for new curriculum materials in</w:t>
      </w:r>
      <w:r>
        <w:t xml:space="preserve"> </w:t>
      </w:r>
      <w:r>
        <w:rPr>
          <w:bCs/>
          <w:b/>
        </w:rPr>
        <w:t xml:space="preserve">Japan Tokyo</w:t>
      </w:r>
      <w:r>
        <w:t xml:space="preserve"> </w:t>
      </w:r>
      <w:r>
        <w:t xml:space="preserve">can be lengthy due to strict hierarchical protocols.</w:t>
      </w:r>
    </w:p>
    <w:p>
      <w:pPr>
        <w:numPr>
          <w:ilvl w:val="0"/>
          <w:numId w:val="1001"/>
        </w:numPr>
        <w:pStyle w:val="Compact"/>
      </w:pPr>
      <w:r>
        <w:t xml:space="preserve">Cultural Misalignment:</w:t>
      </w:r>
      <w:r>
        <w:br/>
      </w:r>
      <w:r>
        <w:t xml:space="preserve">Risk of importing Western pedagogical models without adequate adaptation to the collectivist culture prevalent in Japan Tokyo.</w:t>
      </w:r>
    </w:p>
    <w:p>
      <w:pPr>
        <w:numPr>
          <w:ilvl w:val="0"/>
          <w:numId w:val="1001"/>
        </w:numPr>
        <w:pStyle w:val="Compact"/>
      </w:pPr>
      <w:r>
        <w:rPr>
          <w:bCs/>
          <w:b/>
        </w:rPr>
        <w:t xml:space="preserve">Resource Disparity:</w:t>
      </w:r>
    </w:p>
    <w:p>
      <w:pPr>
        <w:numPr>
          <w:ilvl w:val="0"/>
          <w:numId w:val="1000"/>
        </w:numPr>
        <w:pStyle w:val="Compact"/>
      </w:pPr>
      <w:r>
        <w:t xml:space="preserve">While Japan Tokyo is well-funded, smaller private institutions may struggle to implement the high-tech curricula designed by the Curriculum Developer.</w:t>
      </w:r>
    </w:p>
    <w:bookmarkEnd w:id="29"/>
    <w:bookmarkStart w:id="30" w:name="recommendations-for-implementation"/>
    <w:p>
      <w:pPr>
        <w:pStyle w:val="Heading2"/>
      </w:pPr>
      <w:r>
        <w:t xml:space="preserve">6.0 Recommendations for Implementation</w:t>
      </w:r>
    </w:p>
    <w:p>
      <w:pPr>
        <w:pStyle w:val="FirstParagraph"/>
      </w:pPr>
      <w:r>
        <w:t xml:space="preserve">To ensure the success of any new curriculum initiative led by a</w:t>
      </w:r>
      <w:r>
        <w:t xml:space="preserve"> </w:t>
      </w:r>
      <w:r>
        <w:rPr>
          <w:bCs/>
          <w:b/>
        </w:rPr>
        <w:t xml:space="preserve">Curriculum Developer</w:t>
      </w:r>
      <w:r>
        <w:t xml:space="preserve"> </w:t>
      </w:r>
      <w:r>
        <w:t xml:space="preserve">in</w:t>
      </w:r>
      <w:r>
        <w:t xml:space="preserve"> </w:t>
      </w:r>
      <w:r>
        <w:rPr>
          <w:bCs/>
          <w:b/>
        </w:rPr>
        <w:t xml:space="preserve">Japan Tokyo</w:t>
      </w:r>
      <w:r>
        <w:t xml:space="preserve">, the following recommendations are proposed based on this lab report:</w:t>
      </w:r>
    </w:p>
    <w:p>
      <w:pPr>
        <w:numPr>
          <w:ilvl w:val="0"/>
          <w:numId w:val="1002"/>
        </w:numPr>
        <w:pStyle w:val="Compact"/>
      </w:pPr>
      <w:r>
        <w:t xml:space="preserve">Pilot Testing in Tokyo Districts:</w:t>
      </w:r>
    </w:p>
    <w:p>
      <w:pPr>
        <w:numPr>
          <w:ilvl w:val="0"/>
          <w:numId w:val="1000"/>
        </w:numPr>
        <w:pStyle w:val="Compact"/>
      </w:pPr>
      <w:r>
        <w:t xml:space="preserve">Before full-scale rollout, conduct pilot programs in select schools across different wards of Japan Tokyo (e.g., Shinjuku vs. Setagaya) to test cultural resonance.</w:t>
      </w:r>
    </w:p>
    <w:p>
      <w:pPr>
        <w:numPr>
          <w:ilvl w:val="0"/>
          <w:numId w:val="1002"/>
        </w:numPr>
        <w:pStyle w:val="Compact"/>
      </w:pPr>
      <w:r>
        <w:t xml:space="preserve">Cultural Liaison Role:</w:t>
      </w:r>
    </w:p>
    <w:p>
      <w:pPr>
        <w:numPr>
          <w:ilvl w:val="0"/>
          <w:numId w:val="1000"/>
        </w:numPr>
        <w:pStyle w:val="Compact"/>
      </w:pPr>
      <w:r>
        <w:t xml:space="preserve">The Curriculum Developer should hire or consult with local Japanese educators who can serve as cultural translators, ensuring the curriculum respects local norms.</w:t>
      </w:r>
    </w:p>
    <w:p>
      <w:pPr>
        <w:numPr>
          <w:ilvl w:val="0"/>
          <w:numId w:val="1002"/>
        </w:numPr>
        <w:pStyle w:val="Compact"/>
      </w:pPr>
      <w:r>
        <w:t xml:space="preserve">Phased Digital Integration:</w:t>
      </w:r>
    </w:p>
    <w:p>
      <w:pPr>
        <w:numPr>
          <w:ilvl w:val="0"/>
          <w:numId w:val="1000"/>
        </w:numPr>
        <w:pStyle w:val="Compact"/>
      </w:pPr>
      <w:r>
        <w:t xml:space="preserve">Implement technology in stages to allow teachers in Japan Tokyo to adapt their skills, reducing resistance to change.</w:t>
      </w:r>
    </w:p>
    <w:p>
      <w:pPr>
        <w:numPr>
          <w:ilvl w:val="0"/>
          <w:numId w:val="1002"/>
        </w:numPr>
        <w:pStyle w:val="Compact"/>
      </w:pPr>
      <w:r>
        <w:t xml:space="preserve">Continuous Feedback Loops:</w:t>
      </w:r>
    </w:p>
    <w:p>
      <w:pPr>
        <w:numPr>
          <w:ilvl w:val="0"/>
          <w:numId w:val="1000"/>
        </w:numPr>
        <w:pStyle w:val="Compact"/>
      </w:pPr>
      <w:r>
        <w:t xml:space="preserve">Establish regular feedback mechanisms with students and parents in Japan Tokyo to monitor the curriculum's impact on well-being and academic performance.</w:t>
      </w:r>
    </w:p>
    <w:bookmarkEnd w:id="30"/>
    <w:bookmarkStart w:id="31" w:name="conclusion"/>
    <w:p>
      <w:pPr>
        <w:pStyle w:val="Heading2"/>
      </w:pPr>
      <w:r>
        <w:t xml:space="preserve">7.0 Conclusion</w:t>
      </w:r>
    </w:p>
    <w:p>
      <w:pPr>
        <w:pStyle w:val="FirstParagraph"/>
      </w:pPr>
      <w:r>
        <w:t xml:space="preserve">This Lab Report concludes that the role of the</w:t>
      </w:r>
      <w:r>
        <w:t xml:space="preserve"> </w:t>
      </w:r>
      <w:r>
        <w:rPr>
          <w:bCs/>
          <w:b/>
        </w:rPr>
        <w:t xml:space="preserve">Curriculum Developer</w:t>
      </w:r>
      <w:r>
        <w:t xml:space="preserve"> </w:t>
      </w:r>
      <w:r>
        <w:t xml:space="preserve">in</w:t>
      </w:r>
      <w:r>
        <w:t xml:space="preserve"> </w:t>
      </w:r>
      <w:r>
        <w:rPr>
          <w:bCs/>
          <w:b/>
        </w:rPr>
        <w:t xml:space="preserve">Japan Tokyo</w:t>
      </w:r>
      <w:r>
        <w:t xml:space="preserve"> </w:t>
      </w:r>
      <w:r>
        <w:t xml:space="preserve">is far more complex than mere content creation. It requires a sophisticated blend of academic rigor, technological foresight, and deep cultural empathy. The unique characteristics of</w:t>
      </w:r>
      <w:r>
        <w:t xml:space="preserve"> </w:t>
      </w:r>
      <w:r>
        <w:rPr>
          <w:bCs/>
          <w:b/>
        </w:rPr>
        <w:t xml:space="preserve">Japan Tokyo</w:t>
      </w:r>
      <w:r>
        <w:t xml:space="preserve">, including its density, technological advancement, and strict adherence to tradition, demand a curriculum framework that is both globally competitive and locally grounded.</w:t>
      </w:r>
    </w:p>
    <w:p>
      <w:pPr>
        <w:pStyle w:val="BodyText"/>
      </w:pPr>
      <w:r>
        <w:t xml:space="preserve">Success in this domain depends on the Developer's ability to act as a bridge between international best practices and Japanese educational values. By adhering to the findings outlined in this report, stakeholders can ensure that educational initiatives in</w:t>
      </w:r>
      <w:r>
        <w:t xml:space="preserve"> </w:t>
      </w:r>
      <w:r>
        <w:rPr>
          <w:bCs/>
          <w:b/>
        </w:rPr>
        <w:t xml:space="preserve">Japan Tokyo</w:t>
      </w:r>
      <w:r>
        <w:t xml:space="preserve"> </w:t>
      </w:r>
      <w:r>
        <w:t xml:space="preserve">are not only compliant but also engaging, inclusive, and forward-looking.</w:t>
      </w:r>
    </w:p>
    <w:p>
      <w:pPr>
        <w:pStyle w:val="BodyText"/>
      </w:pPr>
      <w:r>
        <w:rPr>
          <w:bCs/>
          <w:b/>
        </w:rPr>
        <w:t xml:space="preserve">Report Prepared By:</w:t>
      </w:r>
      <w:r>
        <w:br/>
      </w:r>
      <w:r>
        <w:t xml:space="preserve">Senior Educational Analyst</w:t>
      </w:r>
      <w:r>
        <w:br/>
      </w:r>
      <w:r>
        <w:t xml:space="preserve">Department of Cross-Cultural Curriculum Studies</w:t>
      </w:r>
    </w:p>
    <w:p>
      <w:pPr>
        <w:pStyle w:val="BodyText"/>
      </w:pPr>
      <w:r>
        <w:t xml:space="preserve">Confidentiality Notice: This Lab Report contains proprietary methodologies regarding the Japanese Tokyo educational market. Distribution is restricted to authorized personnel involved in Curriculum Developer training and deployment.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Strategy for Japan Tokyo</dc:title>
  <dc:creator/>
  <dc:language>en</dc:language>
  <cp:keywords/>
  <dcterms:created xsi:type="dcterms:W3CDTF">2026-07-29T22:15:50Z</dcterms:created>
  <dcterms:modified xsi:type="dcterms:W3CDTF">2026-07-29T22:15:50Z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