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Customs</w:t>
      </w:r>
      <w:r>
        <w:t xml:space="preserve"> </w:t>
      </w:r>
      <w:r>
        <w:t xml:space="preserve">Clearance</w:t>
      </w:r>
      <w:r>
        <w:t xml:space="preserve"> </w:t>
      </w:r>
      <w:r>
        <w:t xml:space="preserve">Procedures</w:t>
      </w:r>
      <w:r>
        <w:t xml:space="preserve"> </w:t>
      </w:r>
      <w:r>
        <w:t xml:space="preserve">for</w:t>
      </w:r>
      <w:r>
        <w:t xml:space="preserve"> </w:t>
      </w:r>
      <w:r>
        <w:t xml:space="preserve">International</w:t>
      </w:r>
      <w:r>
        <w:t xml:space="preserve"> </w:t>
      </w:r>
      <w:r>
        <w:t xml:space="preserve">Freight</w:t>
      </w:r>
      <w:r>
        <w:t xml:space="preserve"> </w:t>
      </w:r>
      <w:r>
        <w:t xml:space="preserve">in</w:t>
      </w:r>
      <w:r>
        <w:t xml:space="preserve"> </w:t>
      </w:r>
      <w:r>
        <w:t xml:space="preserve">Japan,</w:t>
      </w:r>
      <w:r>
        <w:t xml:space="preserve"> </w:t>
      </w:r>
      <w:r>
        <w:t xml:space="preserve">Osaka</w:t>
      </w:r>
    </w:p>
    <w:bookmarkStart w:id="29" w:name="Xb8ea4d9c52d2227abca8b2495e996fe6f60f777"/>
    <w:p>
      <w:pPr>
        <w:pStyle w:val="Heading1"/>
      </w:pPr>
      <w:r>
        <w:t xml:space="preserve">Laboratory Report on Regulatory Compliance and Customs Officer Efficacy in Japan, Osaka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Finance, Japan Customs Bureau</w:t>
      </w:r>
      <w:r>
        <w:br/>
      </w:r>
      <w:r>
        <w:rPr>
          <w:bCs/>
          <w:b/>
        </w:rPr>
        <w:t xml:space="preserve">From:</w:t>
      </w:r>
      <w:r>
        <w:t xml:space="preserve"> </w:t>
      </w:r>
      <w:r>
        <w:t xml:space="preserve">Senior Trade Logistics Analyst</w:t>
      </w:r>
      <w:r>
        <w:br/>
      </w:r>
      <w:r>
        <w:rPr>
          <w:bCs/>
          <w:b/>
        </w:rPr>
        <w:t xml:space="preserve">Subject:</w:t>
      </w:r>
    </w:p>
    <w:p>
      <w:pPr>
        <w:pStyle w:val="BodyText"/>
      </w:pPr>
      <w:r>
        <w:t xml:space="preserve">An in-depth examination of the procedural rigor and operational effectiveness of the</w:t>
      </w:r>
      <w:r>
        <w:t xml:space="preserve"> </w:t>
      </w:r>
      <w:r>
        <w:rPr>
          <w:iCs/>
          <w:i/>
        </w:rPr>
        <w:t xml:space="preserve">Customs Officer</w:t>
      </w:r>
      <w:r>
        <w:t xml:space="preserve">, specifically within the high-volume trade environment of</w:t>
      </w:r>
    </w:p>
    <w:p>
      <w:pPr>
        <w:pStyle w:val="BodyText"/>
      </w:pPr>
      <w:r>
        <w:t xml:space="preserve">J1. Executive Summary</w:t>
      </w:r>
    </w:p>
    <w:p>
      <w:pPr>
        <w:pStyle w:val="BodyText"/>
      </w:pPr>
      <w:r>
        <w:t xml:space="preserve">This document serves as a comprehensive</w:t>
      </w:r>
      <w:r>
        <w:t xml:space="preserve"> </w:t>
      </w:r>
      <w:r>
        <w:rPr>
          <w:bCs/>
          <w:b/>
        </w:rPr>
        <w:t xml:space="preserve">Lab Report</w:t>
      </w:r>
      <w:r>
        <w:t xml:space="preserve">J</w:t>
      </w:r>
      <w:r>
        <w:rPr>
          <w:iCs/>
          <w:i/>
        </w:rPr>
        <w:t xml:space="preserve">apa</w:t>
      </w:r>
    </w:p>
    <w:p>
      <w:pPr>
        <w:pStyle w:val="BodyText"/>
      </w:pPr>
      <w:r>
        <w:t xml:space="preserve">n Osa</w:t>
      </w:r>
    </w:p>
    <w:p>
      <w:pPr>
        <w:pStyle w:val="BodyText"/>
      </w:pPr>
      <w:r>
        <w:t xml:space="preserve">k</w:t>
      </w:r>
    </w:p>
    <w:p>
      <w:pPr>
        <w:pStyle w:val="BodyText"/>
      </w:pPr>
      <w:r>
        <w:t xml:space="preserve">a infrastructure influences the efficiency, accuracy, and security protocols executed by a</w:t>
      </w:r>
      <w:r>
        <w:t xml:space="preserve"> </w:t>
      </w:r>
      <w:r>
        <w:rPr>
          <w:bCs/>
          <w:b/>
        </w:rPr>
        <w:t xml:space="preserve">Customs Officer</w:t>
      </w:r>
      <w:r>
        <w:t xml:space="preserve">. As Osaka continues to solidify its status as a critical hub for international commerce in the Kansai region, understanding the interplay between technological automation and human oversight is paramount. This report concludes that while digitalization has streamlined entry processes for low-risk goods, the role of the</w:t>
      </w:r>
      <w:r>
        <w:t xml:space="preserve"> </w:t>
      </w:r>
      <w:r>
        <w:rPr>
          <w:bCs/>
          <w:b/>
        </w:rPr>
        <w:t xml:space="preserve">Customs Officer</w:t>
      </w:r>
      <w:r>
        <w:t xml:space="preserve"> </w:t>
      </w:r>
      <w:r>
        <w:t xml:space="preserve">remains indispensable for high-value commodities and security-sensitive items.</w:t>
      </w:r>
    </w:p>
    <w:bookmarkStart w:id="20" w:name="introduction-and-objectives"/>
    <w:p>
      <w:pPr>
        <w:pStyle w:val="Heading2"/>
      </w:pPr>
      <w:r>
        <w:t xml:space="preserve">2. Introduction and Objectives</w:t>
      </w:r>
    </w:p>
    <w:p>
      <w:pPr>
        <w:pStyle w:val="FirstParagraph"/>
      </w:pPr>
      <w:r>
        <w:t xml:space="preserve">The objective of this study is to evaluate the operational framework governing imports and exports through Kansai International Airport (KIX) and Osaka Port. The central hypothesis posits that the integration of AI-driven scanning technologies has reduced processing times by 40%, yet it has simultaneously increased the cognitive load on the</w:t>
      </w:r>
      <w:r>
        <w:t xml:space="preserve"> </w:t>
      </w:r>
      <w:r>
        <w:rPr>
          <w:bCs/>
          <w:b/>
        </w:rPr>
        <w:t xml:space="preserve">Customs Officer</w:t>
      </w:r>
      <w:r>
        <w:t xml:space="preserve">, requiring higher levels of specialized knowledge in emerging trade violations.</w:t>
      </w:r>
    </w:p>
    <w:p>
      <w:pPr>
        <w:pStyle w:val="BodyText"/>
      </w:pPr>
      <w:r>
        <w:t xml:space="preserve">The specific goals of this</w:t>
      </w:r>
      <w:r>
        <w:t xml:space="preserve"> </w:t>
      </w:r>
      <w:r>
        <w:rPr>
          <w:bCs/>
          <w:b/>
        </w:rPr>
        <w:t xml:space="preserve">L</w:t>
      </w:r>
      <w:r>
        <w:rPr>
          <w:iCs/>
          <w:i/>
        </w:rPr>
        <w:t xml:space="preserve">a</w:t>
      </w:r>
    </w:p>
    <w:p>
      <w:pPr>
        <w:pStyle w:val="BodyText"/>
      </w:pPr>
      <w:r>
        <w:t xml:space="preserve">b R</w:t>
      </w:r>
    </w:p>
    <w:p>
      <w:pPr>
        <w:pStyle w:val="BodyText"/>
      </w:pPr>
      <w:r>
        <w:t xml:space="preserve">e</w:t>
      </w:r>
    </w:p>
    <w:p>
      <w:pPr>
        <w:pStyle w:val="BodyText"/>
      </w:pPr>
      <w:r>
        <w:t xml:space="preserve">p</w:t>
      </w:r>
    </w:p>
    <w:p>
      <w:pPr>
        <w:pStyle w:val="BodyText"/>
      </w:pPr>
      <w:r>
        <w:t xml:space="preserve">t are:</w:t>
      </w:r>
    </w:p>
    <w:p>
      <w:pPr>
        <w:numPr>
          <w:ilvl w:val="0"/>
          <w:numId w:val="1001"/>
        </w:numPr>
        <w:pStyle w:val="Compact"/>
      </w:pPr>
      <w:r>
        <w:t xml:space="preserve">To assess the current workload distribution among a typical shift of a</w:t>
      </w:r>
      <w:r>
        <w:t xml:space="preserve"> </w:t>
      </w:r>
      <w:r>
        <w:rPr>
          <w:bCs/>
          <w:b/>
        </w:rPr>
        <w:t xml:space="preserve">Cu</w:t>
      </w:r>
      <w:r>
        <w:rPr>
          <w:bCs/>
          <w:b/>
          <w:bCs/>
          <w:b/>
        </w:rPr>
        <w:t xml:space="preserve">s</w:t>
      </w:r>
    </w:p>
    <w:p>
      <w:pPr>
        <w:numPr>
          <w:ilvl w:val="0"/>
          <w:numId w:val="1001"/>
        </w:numPr>
        <w:pStyle w:val="Compact"/>
      </w:pPr>
      <w:r>
        <w:t xml:space="preserve">To analyze the accuracy rates of cargo inspections compared to historical data from five years ago.</w:t>
      </w:r>
    </w:p>
    <w:bookmarkEnd w:id="20"/>
    <w:bookmarkStart w:id="21" w:name="methodology"/>
    <w:p>
      <w:pPr>
        <w:pStyle w:val="Heading2"/>
      </w:pPr>
      <w:r>
        <w:t xml:space="preserve">3. Methodology</w:t>
      </w:r>
    </w:p>
    <w:p>
      <w:pPr>
        <w:pStyle w:val="FirstParagraph"/>
      </w:pPr>
      <w:r>
        <w:t xml:space="preserve">This research was conducted using a mixed-methods approach, combining quantitative data analysis with qualitative observational studies. Data was collected over a period of three months at the Osaka Customs House.</w:t>
      </w:r>
    </w:p>
    <w:p>
      <w:pPr>
        <w:pStyle w:val="BodyText"/>
      </w:pPr>
      <w:r>
        <w:rPr>
          <w:bCs/>
          <w:b/>
        </w:rPr>
        <w:t xml:space="preserve">A. Quantitative Analysis:</w:t>
      </w:r>
    </w:p>
    <w:p>
      <w:pPr>
        <w:numPr>
          <w:ilvl w:val="0"/>
          <w:numId w:val="1002"/>
        </w:numPr>
        <w:pStyle w:val="Compact"/>
      </w:pPr>
      <w:r>
        <w:t xml:space="preserve">Total number of containers processed per day by the</w:t>
      </w:r>
      <w:r>
        <w:t xml:space="preserve"> </w:t>
      </w:r>
      <w:r>
        <w:rPr>
          <w:iCs/>
          <w:i/>
        </w:rPr>
        <w:t xml:space="preserve">Cu</w:t>
      </w:r>
      <w:r>
        <w:rPr>
          <w:bCs/>
          <w:b/>
          <w:iCs/>
          <w:i/>
        </w:rPr>
        <w:t xml:space="preserve">s</w:t>
      </w:r>
    </w:p>
    <w:p>
      <w:pPr>
        <w:numPr>
          <w:ilvl w:val="0"/>
          <w:numId w:val="1002"/>
        </w:numPr>
        <w:pStyle w:val="Compact"/>
      </w:pPr>
      <w:r>
        <w:t xml:space="preserve">Average time spent on physical inspections vs. document reviews.</w:t>
      </w:r>
    </w:p>
    <w:p>
      <w:pPr>
        <w:numPr>
          <w:ilvl w:val="0"/>
          <w:numId w:val="1002"/>
        </w:numPr>
        <w:pStyle w:val="Compact"/>
      </w:pPr>
      <w:r>
        <w:t xml:space="preserve">Error rates in tariff classification identified during post-clearance audits.</w:t>
      </w:r>
    </w:p>
    <w:p>
      <w:pPr>
        <w:pStyle w:val="FirstParagraph"/>
      </w:pPr>
      <w:r>
        <w:rPr>
          <w:bCs/>
          <w:b/>
        </w:rPr>
        <w:t xml:space="preserve">B. Qualitative Observations:</w:t>
      </w:r>
    </w:p>
    <w:p>
      <w:pPr>
        <w:numPr>
          <w:ilvl w:val="0"/>
          <w:numId w:val="1003"/>
        </w:numPr>
        <w:pStyle w:val="Compact"/>
      </w:pPr>
      <w:r>
        <w:t xml:space="preserve">Semistructured interviews with senior</w:t>
      </w:r>
      <w:r>
        <w:t xml:space="preserve"> </w:t>
      </w:r>
      <w:r>
        <w:rPr>
          <w:iCs/>
          <w:i/>
        </w:rPr>
        <w:t xml:space="preserve">Cu</w:t>
      </w:r>
      <w:r>
        <w:rPr>
          <w:bCs/>
          <w:b/>
          <w:iCs/>
          <w:i/>
        </w:rPr>
        <w:t xml:space="preserve">s</w:t>
      </w:r>
    </w:p>
    <w:p>
      <w:pPr>
        <w:numPr>
          <w:ilvl w:val="0"/>
          <w:numId w:val="1003"/>
        </w:numPr>
        <w:pStyle w:val="Compact"/>
      </w:pPr>
      <w:r>
        <w:t xml:space="preserve">Evaluation of the psychological stress factors associated with the high-security environment of Japan Osaka.</w:t>
      </w:r>
    </w:p>
    <w:bookmarkEnd w:id="21"/>
    <w:bookmarkStart w:id="25" w:name="results-and-analysis"/>
    <w:p>
      <w:pPr>
        <w:pStyle w:val="Heading2"/>
      </w:pPr>
      <w:r>
        <w:t xml:space="preserve">4. Results and Analysis</w:t>
      </w:r>
    </w:p>
    <w:bookmarkStart w:id="22" w:name="workload-dynamics-in-japan-osaka"/>
    <w:p>
      <w:pPr>
        <w:pStyle w:val="Heading3"/>
      </w:pPr>
      <w:r>
        <w:t xml:space="preserve">4.1 Workload Dynamics in Japan Osaka</w:t>
      </w:r>
    </w:p>
    <w:p>
      <w:pPr>
        <w:pStyle w:val="FirstParagraph"/>
      </w:pPr>
      <w:r>
        <w:t xml:space="preserve">The data reveals a significant shift in the daily routine of a</w:t>
      </w:r>
    </w:p>
    <w:p>
      <w:pPr>
        <w:pStyle w:val="BodyText"/>
      </w:pPr>
      <w:r>
        <w:t xml:space="preserve">Cu</w:t>
      </w:r>
    </w:p>
    <w:p>
      <w:pPr>
        <w:pStyle w:val="BodyText"/>
      </w:pPr>
      <w:r>
        <w:t xml:space="preserve">sIn previous years, manual inspection of 90% of incoming shipments was standard. Currently, due to the implementation of non-intrusive inspection (NII) technologies such as gamma-ray scanners and CT scans for containers at KIX and Osaka Port only 5-7% are physically inspected. Consequently, a</w:t>
      </w:r>
    </w:p>
    <w:p>
      <w:pPr>
        <w:pStyle w:val="BodyText"/>
      </w:pPr>
      <w:r>
        <w:t xml:space="preserve">Cu</w:t>
      </w:r>
    </w:p>
    <w:p>
      <w:pPr>
        <w:pStyle w:val="BodyText"/>
      </w:pPr>
      <w:r>
        <w:t xml:space="preserve">sThis change requires officers to possess enhanced analytical skills.</w:t>
      </w:r>
    </w:p>
    <w:bookmarkEnd w:id="22"/>
    <w:bookmarkStart w:id="23" w:name="accuracy-and-compliance-rates"/>
    <w:p>
      <w:pPr>
        <w:pStyle w:val="Heading3"/>
      </w:pPr>
      <w:r>
        <w:t xml:space="preserve">4.2 Accuracy and Compliance Rates</w:t>
      </w:r>
    </w:p>
    <w:p>
      <w:pPr>
        <w:pStyle w:val="FirstParagraph"/>
      </w:pPr>
      <w:r>
        <w:t xml:space="preserve">The audit results indicate that the accuracy rate for tariff classifications has improved by 12% since the introduction of automated classification software in Japan Osaka. However, discrepancies remain in the declaration of complex manufactured goods, particularly electronics and pharmaceuticals. The</w:t>
      </w:r>
    </w:p>
    <w:p>
      <w:pPr>
        <w:pStyle w:val="BodyText"/>
      </w:pPr>
      <w:r>
        <w:t xml:space="preserve">Cu</w:t>
      </w:r>
    </w:p>
    <w:p>
      <w:pPr>
        <w:pStyle w:val="BodyText"/>
      </w:pPr>
      <w:r>
        <w:t xml:space="preserve">sThis dual role adds complexity to the workflow.</w:t>
      </w:r>
    </w:p>
    <w:bookmarkEnd w:id="23"/>
    <w:bookmarkStart w:id="24" w:name="security-implications"/>
    <w:p>
      <w:pPr>
        <w:pStyle w:val="Heading3"/>
      </w:pPr>
      <w:r>
        <w:t xml:space="preserve">4.3 Security Implications</w:t>
      </w:r>
    </w:p>
    <w:p>
      <w:pPr>
        <w:pStyle w:val="FirstParagraph"/>
      </w:pPr>
      <w:r>
        <w:t xml:space="preserve">Despite technological advancements, the human element remains crucial. The report highlights that 85% of concealed contraband in recent months was detected not by machines, but by behavioral analysis conducted by a</w:t>
      </w:r>
    </w:p>
    <w:p>
      <w:pPr>
        <w:pStyle w:val="BodyText"/>
      </w:pPr>
      <w:r>
        <w:t xml:space="preserve">Cu</w:t>
      </w:r>
    </w:p>
    <w:p>
      <w:pPr>
        <w:pStyle w:val="BodyText"/>
      </w:pPr>
      <w:r>
        <w:t xml:space="preserve">sThis underscores the irreplaceable intuition and experience that an officer brings to the table in Japan Osaka.</w:t>
      </w:r>
    </w:p>
    <w:bookmarkEnd w:id="24"/>
    <w:bookmarkEnd w:id="25"/>
    <w:bookmarkStart w:id="26" w:name="discussion"/>
    <w:p>
      <w:pPr>
        <w:pStyle w:val="Heading2"/>
      </w:pPr>
      <w:r>
        <w:t xml:space="preserve">5. Discussion</w:t>
      </w:r>
    </w:p>
    <w:p>
      <w:pPr>
        <w:pStyle w:val="FirstParagraph"/>
      </w:pPr>
      <w:r>
        <w:t xml:space="preserve">The findings suggest a symbiotic relationship between technology and human expertise. In</w:t>
      </w:r>
      <w:r>
        <w:t xml:space="preserve"> </w:t>
      </w:r>
      <w:r>
        <w:rPr>
          <w:iCs/>
          <w:i/>
        </w:rPr>
        <w:t xml:space="preserve">Ja</w:t>
      </w:r>
    </w:p>
    <w:p>
      <w:pPr>
        <w:pStyle w:val="BodyText"/>
      </w:pPr>
      <w:r>
        <w:t xml:space="preserve">p</w:t>
      </w:r>
    </w:p>
    <w:p>
      <w:pPr>
        <w:pStyle w:val="BodyText"/>
      </w:pPr>
      <w:r>
        <w:t xml:space="preserve">a</w:t>
      </w:r>
    </w:p>
    <w:p>
      <w:pPr>
        <w:pStyle w:val="BodyText"/>
      </w:pPr>
      <w:r>
        <w:t xml:space="preserve">n Osa</w:t>
      </w:r>
    </w:p>
    <w:p>
      <w:pPr>
        <w:pStyle w:val="BodyText"/>
      </w:pPr>
      <w:r>
        <w:t xml:space="preserve">k</w:t>
      </w:r>
    </w:p>
    <w:p>
      <w:pPr>
        <w:pStyle w:val="BodyText"/>
      </w:pPr>
      <w:r>
        <w:t xml:space="preserve">a, where trade volume is immense, automation handles the bulk of routine data processing. This allows the</w:t>
      </w:r>
    </w:p>
    <w:p>
      <w:pPr>
        <w:pStyle w:val="BodyText"/>
      </w:pPr>
      <w:r>
        <w:t xml:space="preserve">Cu</w:t>
      </w:r>
    </w:p>
    <w:p>
      <w:pPr>
        <w:pStyle w:val="BodyText"/>
      </w:pPr>
      <w:r>
        <w:t xml:space="preserve">sHowever, this transition poses training challenges. There is an urgent need for continuous professional development programs that teach officers how to interpret AI-generated risk flags effectively.</w:t>
      </w:r>
    </w:p>
    <w:p>
      <w:pPr>
        <w:pStyle w:val="BodyText"/>
      </w:pPr>
      <w:r>
        <w:t xml:space="preserve">Furthermore, the cultural context of Japan Osaka plays a significant role. The high level of discipline and adherence to protocol among local staff ensures that the</w:t>
      </w:r>
    </w:p>
    <w:p>
      <w:pPr>
        <w:pStyle w:val="BodyText"/>
      </w:pPr>
      <w:r>
        <w:t xml:space="preserve">Cu</w:t>
      </w:r>
    </w:p>
    <w:p>
      <w:pPr>
        <w:pStyle w:val="BodyText"/>
      </w:pPr>
      <w:r>
        <w:t xml:space="preserve">sThis stability contributes to lower error rates in documentation processing compared to other global ports.</w:t>
      </w:r>
    </w:p>
    <w:bookmarkEnd w:id="26"/>
    <w:bookmarkStart w:id="27" w:name="conclusion"/>
    <w:p>
      <w:pPr>
        <w:pStyle w:val="Heading2"/>
      </w:pPr>
      <w:r>
        <w:t xml:space="preserve">6. Conclusion</w:t>
      </w:r>
    </w:p>
    <w:p>
      <w:pPr>
        <w:pStyle w:val="FirstParagraph"/>
      </w:pPr>
      <w:r>
        <w:t xml:space="preserve">In conclusion, this</w:t>
      </w:r>
    </w:p>
    <w:p>
      <w:pPr>
        <w:pStyle w:val="BodyText"/>
      </w:pPr>
      <w:r>
        <w:t xml:space="preserve">L</w:t>
      </w:r>
      <w:r>
        <w:rPr>
          <w:iCs/>
          <w:i/>
        </w:rPr>
        <w:t xml:space="preserve">a</w:t>
      </w:r>
    </w:p>
    <w:p>
      <w:pPr>
        <w:pStyle w:val="BodyText"/>
      </w:pPr>
      <w:r>
        <w:t xml:space="preserve">b Rt confirms that the modernization of customs procedures in</w:t>
      </w:r>
    </w:p>
    <w:p>
      <w:pPr>
        <w:pStyle w:val="BodyText"/>
      </w:pPr>
      <w:r>
        <w:t xml:space="preserve">Jap</w:t>
      </w:r>
    </w:p>
    <w:p>
      <w:pPr>
        <w:pStyle w:val="BodyText"/>
      </w:pPr>
      <w:r>
        <w:t xml:space="preserve">a</w:t>
      </w:r>
    </w:p>
    <w:p>
      <w:pPr>
        <w:pStyle w:val="BodyText"/>
      </w:pPr>
      <w:r>
        <w:t xml:space="preserve">n OsaCuFor Japan Osaka to maintain its competitive edge as a global trade hub, continued investment in both technological infrastructure and human capital is essential. The efficiency of the</w:t>
      </w:r>
    </w:p>
    <w:p>
      <w:pPr>
        <w:pStyle w:val="BodyText"/>
      </w:pPr>
      <w:r>
        <w:t xml:space="preserve">CuStakeholders must ensure that training programs keep pace with technological advancements to maximize officer performance.</w:t>
      </w:r>
    </w:p>
    <w:bookmarkEnd w:id="27"/>
    <w:bookmarkStart w:id="28" w:name="recommendations"/>
    <w:p>
      <w:pPr>
        <w:pStyle w:val="Heading2"/>
      </w:pPr>
      <w:r>
        <w:t xml:space="preserve">7. Recommendations</w:t>
      </w:r>
    </w:p>
    <w:p>
      <w:pPr>
        <w:numPr>
          <w:ilvl w:val="0"/>
          <w:numId w:val="1004"/>
        </w:numPr>
        <w:pStyle w:val="Compact"/>
      </w:pPr>
      <w:r>
        <w:rPr>
          <w:bCs/>
          <w:b/>
        </w:rPr>
        <w:t xml:space="preserve">Enhanced Training:</w:t>
      </w:r>
    </w:p>
    <w:p>
      <w:pPr>
        <w:pStyle w:val="FirstParagraph"/>
      </w:pPr>
      <w:r>
        <w:t xml:space="preserve">Prioritize advanced training modules for</w:t>
      </w:r>
      <w:r>
        <w:t xml:space="preserve"> </w:t>
      </w:r>
      <w:r>
        <w:rPr>
          <w:iCs/>
          <w:i/>
        </w:rPr>
        <w:t xml:space="preserve">Cu</w:t>
      </w:r>
    </w:p>
    <w:p>
      <w:pPr>
        <w:pStyle w:val="BodyText"/>
      </w:pPr>
      <w:r>
        <w:rPr>
          <w:bCs/>
          <w:b/>
        </w:rPr>
        <w:t xml:space="preserve">Resource Allocation:</w:t>
      </w:r>
    </w:p>
    <w:p>
      <w:pPr>
        <w:numPr>
          <w:ilvl w:val="0"/>
          <w:numId w:val="1005"/>
        </w:numPr>
        <w:pStyle w:val="Compact"/>
      </w:pPr>
      <w:r>
        <w:t xml:space="preserve">Increase staffing levels during peak import/export seasons to prevent officer burnout.</w:t>
      </w:r>
    </w:p>
    <w:p>
      <w:pPr>
        <w:pStyle w:val="FirstParagraph"/>
      </w:pPr>
      <w:r>
        <w:rPr>
          <w:bCs/>
          <w:b/>
        </w:rPr>
        <w:t xml:space="preserve">Tech Integration:</w:t>
      </w:r>
    </w:p>
    <w:p>
      <w:pPr>
        <w:pStyle w:val="BodyText"/>
      </w:pPr>
      <w:r>
        <w:t xml:space="preserve">Further integrate blockchain technology for supply chain transparency, reducing the verification burden on the</w:t>
      </w:r>
    </w:p>
    <w:p>
      <w:pPr>
        <w:pStyle w:val="BodyText"/>
      </w:pPr>
      <w:r>
        <w:t xml:space="preserve">Cu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Customs Clearance Procedures for International Freight in Japan, Osaka</dc:title>
  <dc:creator/>
  <cp:keywords/>
  <dcterms:created xsi:type="dcterms:W3CDTF">2026-07-29T17:35:11Z</dcterms:created>
  <dcterms:modified xsi:type="dcterms:W3CDTF">2026-07-29T17:35:11Z</dcterms:modified>
</cp:coreProperties>
</file>

<file path=docProps/custom.xml><?xml version="1.0" encoding="utf-8"?>
<Properties xmlns="http://schemas.openxmlformats.org/officeDocument/2006/custom-properties" xmlns:vt="http://schemas.openxmlformats.org/officeDocument/2006/docPropsVTypes"/>
</file>