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Operational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20" w:name="X3f5ea420105311f0bc3e7c2bf76ca51d5fd38c4"/>
    <w:p>
      <w:pPr>
        <w:pStyle w:val="Heading1"/>
      </w:pPr>
      <w:r>
        <w:t xml:space="preserve">Laboratory Analysis Report: The Role, Efficacy, and Operational Dynamics of the Customs Officer in Nigeria Abuja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Federal Inland Revenue Service / National Assembly Committee on Customs</w:t>
      </w:r>
    </w:p>
    <w:p>
      <w:pPr>
        <w:pStyle w:val="BodyText"/>
      </w:pPr>
      <w:r>
        <w:t xml:space="preserve">From:: Department of Operational Security and Trade Facilitation Research Unit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Operational Analysis of the Customs Officer in Nigeria Abuja</dc:title>
  <dc:creator/>
  <dc:language>en</dc:language>
  <cp:keywords/>
  <dcterms:created xsi:type="dcterms:W3CDTF">2026-07-29T03:08:36Z</dcterms:created>
  <dcterms:modified xsi:type="dcterms:W3CDTF">2026-07-29T03:08:36Z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