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Operational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Procedures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20" w:name="laboratory-report"/>
    <w:p>
      <w:pPr>
        <w:pStyle w:val="Heading1"/>
      </w:pPr>
      <w:r>
        <w:t xml:space="preserve">LABORATORY REPORT</w:t>
      </w:r>
    </w:p>
    <w:p>
      <w:pPr>
        <w:pStyle w:val="FirstParagraph"/>
      </w:pPr>
      <w:r>
        <w:t xml:space="preserve">Operational Efficiency and Regulatory Compliance in International Trade Logistics</w:t>
      </w:r>
    </w:p>
    <w:bookmarkEnd w:id="20"/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Turkey, Istanbul</w:t>
      </w:r>
      <w:r>
        <w:br/>
      </w:r>
    </w:p>
    <w:p>
      <w:pPr>
        <w:pStyle w:val="BodyText"/>
      </w:pPr>
      <w:r>
        <w:t xml:space="preserve">Type of Facility:</w:t>
      </w:r>
      <w:r>
        <w:br/>
      </w:r>
      <w:r>
        <w:br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Operational Analysis of Customs Officer Procedures in Turkey Istanbul</dc:title>
  <dc:creator/>
  <dc:language>en</dc:language>
  <cp:keywords/>
  <dcterms:created xsi:type="dcterms:W3CDTF">2026-09-27T01:54:03Z</dcterms:created>
  <dcterms:modified xsi:type="dcterms:W3CDTF">2026-09-27T01:54:03Z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