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Beijing</w:t>
      </w:r>
    </w:p>
    <w:bookmarkStart w:id="33" w:name="technical-lab-report"/>
    <w:p>
      <w:pPr>
        <w:pStyle w:val="Heading1"/>
      </w:pPr>
      <w:r>
        <w:t xml:space="preserve">Technical 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**October 26, 2023**</w:t>
      </w:r>
    </w:p>
    <w:p>
      <w:pPr>
        <w:pStyle w:val="BodyText"/>
      </w:pPr>
      <w:r>
        <w:t xml:space="preserve">**</w:t>
      </w:r>
      <w:r>
        <w:br/>
      </w:r>
      <w:r>
        <w:t xml:space="preserve">**&lt;**div class="note"&gt;</w:t>
      </w:r>
    </w:p>
    <w:p>
      <w:pPr>
        <w:pStyle w:val="BodyText"/>
      </w:pPr>
      <w:r>
        <w:t xml:space="preserve">Note:** This document serves as a comprehensive record of the operational framework, ethical considerations, and technical implementation strategies for a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operating within the specialized regulatory and technological ecosystem of</w:t>
      </w:r>
    </w:p>
    <w:p>
      <w:pPr>
        <w:pStyle w:val="BodyText"/>
      </w:pPr>
      <w:r>
        <w:t xml:space="preserve">China Beijing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objective of this laboratory report is to define the methodological standards required for effective data science initiatives in **China Beijing**. As a global hub for technology and innovation, **China Beijing** presents a unique convergence of massive data volumes, advanced infrastructure (including the "East Data West Computing" initiative), and strict regulatory frameworks. 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this region is not merely technical but also heavily reliant on navigating compliance with local laws such as the Data Security Law (DSL) and the Personal Information Protection Law (PIPL).</w:t>
      </w:r>
    </w:p>
    <w:p>
      <w:pPr>
        <w:pStyle w:val="BodyText"/>
      </w:pPr>
      <w:r>
        <w:t xml:space="preserve">This report outlines the procedural workflows, ethical guidelines, and technical architectures necessary for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to successfully deploy machine learning models and analytical pipelines within this specific geopolitical context.</w:t>
      </w:r>
    </w:p>
    <w:bookmarkEnd w:id="20"/>
    <w:bookmarkStart w:id="21" w:name="Xbe91e849ec2e7af700d9741cd1aec3b374a540d"/>
    <w:p>
      <w:pPr>
        <w:pStyle w:val="Heading2"/>
      </w:pPr>
      <w:r>
        <w:t xml:space="preserve">2. Regulatory Environment and Compliance in China Beijing</w:t>
      </w:r>
    </w:p>
    <w:p>
      <w:pPr>
        <w:pStyle w:val="FirstParagraph"/>
      </w:pPr>
      <w:r>
        <w:t xml:space="preserve">The primary constraint for any **Data Scientist** working in **China Beijing** is the regulatory environment. Unlike many Western jurisdictions, data sovereignty is strictly enforced.</w:t>
      </w:r>
    </w:p>
    <w:p>
      <w:pPr>
        <w:numPr>
          <w:ilvl w:val="0"/>
          <w:numId w:val="1001"/>
        </w:numPr>
        <w:pStyle w:val="Compact"/>
      </w:pPr>
      <w:r>
        <w:t xml:space="preserve">Data Localization: Data generated by critical information infrastructure operators within China must be stored locally.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ensure that data lakes and warehouses are physically located on servers hosted within mainland China.</w:t>
      </w:r>
    </w:p>
    <w:p>
      <w:pPr>
        <w:numPr>
          <w:ilvl w:val="0"/>
          <w:numId w:val="1001"/>
        </w:numPr>
        <w:pStyle w:val="Compact"/>
      </w:pPr>
      <w:r>
        <w:t xml:space="preserve">**Personal Information Protection Law (PIPL): Similar to GDPR but with distinct nuances, PIPL requires explicit consent for data processing.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implement "privacy by design" techniques, such as differential privacy or federated learning, to minimize raw data exposure while maintaining model accuracy.</w:t>
      </w:r>
    </w:p>
    <w:p>
      <w:pPr>
        <w:numPr>
          <w:ilvl w:val="0"/>
          <w:numId w:val="1001"/>
        </w:numPr>
        <w:pStyle w:val="Compact"/>
      </w:pPr>
      <w:r>
        <w:t xml:space="preserve">**Cross-Border Data Transfer: Any transfer of data out of **China Beijing** requires a security assessment by the Cyberspace Administration of China (CAC).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document all data flows and ensure that no sensitive national or corporate secrets are inadvertently transmitted abroad.</w:t>
      </w:r>
    </w:p>
    <w:bookmarkEnd w:id="21"/>
    <w:bookmarkStart w:id="24" w:name="Xdc95afb45c7d1ce9826f8a8b8f88ffc3e6d3116"/>
    <w:p>
      <w:pPr>
        <w:pStyle w:val="Heading2"/>
      </w:pPr>
      <w:r>
        <w:t xml:space="preserve">3. Technical Infrastructure and Data Acquisition</w:t>
      </w:r>
    </w:p>
    <w:p>
      <w:pPr>
        <w:pStyle w:val="FirstParagraph"/>
      </w:pPr>
      <w:r>
        <w:t xml:space="preserve">In **China Beijing**, the data landscape is dominated by several key ecosystems, including Alibaba Cloud, Tencent Cloud, Baidu AI Cloud, and Huawei Cloud.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be proficient in leveraging these domestic platforms.</w:t>
      </w:r>
    </w:p>
    <w:bookmarkStart w:id="22" w:name="data-sources"/>
    <w:p>
      <w:pPr>
        <w:pStyle w:val="Heading3"/>
      </w:pPr>
      <w:r>
        <w:t xml:space="preserve">3.1 Data Sources</w:t>
      </w:r>
    </w:p>
    <w:p>
      <w:pPr>
        <w:pStyle w:val="FirstParagraph"/>
      </w:pPr>
      <w:r>
        <w:t xml:space="preserve">Data acquisition in **China Beijing** often involves integration with local super-apps (such as WeChat or Alipay) and government open data portals.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handle structured data from financial institutions, unstructured text from social media platforms like Weibo, and geospatial data from smart city initiatives.</w:t>
      </w:r>
    </w:p>
    <w:bookmarkEnd w:id="22"/>
    <w:bookmarkStart w:id="23" w:name="infrastructure-considerations"/>
    <w:p>
      <w:pPr>
        <w:pStyle w:val="Heading3"/>
      </w:pPr>
      <w:r>
        <w:t xml:space="preserve">2.2 Infrastructure Considerations</w:t>
      </w:r>
    </w:p>
    <w:p>
      <w:pPr>
        <w:pStyle w:val="FirstParagraph"/>
      </w:pPr>
      <w:r>
        <w:t xml:space="preserve">The "East Data West Computing" project impacts **China Beijing** by offloading heavy computational tasks to western provinces while keeping high-frequency trading and real-time analytics local.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optimize code for latency-sensitive applications running in Beijing data centers, potentially utilizing edge computing solutions.</w:t>
      </w:r>
    </w:p>
    <w:bookmarkEnd w:id="23"/>
    <w:bookmarkEnd w:id="24"/>
    <w:bookmarkStart w:id="25" w:name="methodology-for-data-processing"/>
    <w:p>
      <w:pPr>
        <w:pStyle w:val="Heading2"/>
      </w:pPr>
      <w:r>
        <w:t xml:space="preserve">4. Methodology for Data Processing</w:t>
      </w:r>
    </w:p>
    <w:p>
      <w:pPr>
        <w:pStyle w:val="FirstParagraph"/>
      </w:pPr>
      <w:r>
        <w:t xml:space="preserve">The workflow for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this region follows a modified CRISP-DM (Cross-Industry Standard Process for Data Mining) model, adapted for compliance.</w:t>
      </w:r>
    </w:p>
    <w:p>
      <w:pPr>
        <w:numPr>
          <w:ilvl w:val="0"/>
          <w:numId w:val="1002"/>
        </w:numPr>
        <w:pStyle w:val="Compact"/>
      </w:pPr>
      <w:r>
        <w:t xml:space="preserve">**Problem Definition: Clearly define business objectives while ensuring alignment with national strategic goals (e.g., green energy, smart transportation).</w:t>
      </w:r>
    </w:p>
    <w:p>
      <w:pPr>
        <w:numPr>
          <w:ilvl w:val="0"/>
          <w:numId w:val="1002"/>
        </w:numPr>
        <w:pStyle w:val="Compact"/>
      </w:pPr>
      <w:r>
        <w:t xml:space="preserve">**Data Collection: Obtain data through legal APIs and partnerships. Ensure all user consent is logged and auditable.</w:t>
      </w:r>
    </w:p>
    <w:p>
      <w:pPr>
        <w:numPr>
          <w:ilvl w:val="0"/>
          <w:numId w:val="1002"/>
        </w:numPr>
        <w:pStyle w:val="Compact"/>
      </w:pPr>
      <w:r>
        <w:t xml:space="preserve">**Data Cleaning &amp; Preprocessing: Utilize Python libraries (Pandas, NumPy) but ensure that no personally identifiable information (PII) leaks into staging environments. Use anonymization techniques approved by local legal teams.</w:t>
      </w:r>
    </w:p>
    <w:p>
      <w:pPr>
        <w:numPr>
          <w:ilvl w:val="0"/>
          <w:numId w:val="1002"/>
        </w:numPr>
        <w:pStyle w:val="Compact"/>
      </w:pPr>
      <w:r>
        <w:t xml:space="preserve">**Model Training: Implement algorithms using PyTorch or TensorFlow. In **China Beijing**, there is a growing preference for domestic deep learning frameworks like MindSpore (Huawei).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should be prepared to deploy on these alternative stacks.</w:t>
      </w:r>
    </w:p>
    <w:bookmarkEnd w:id="25"/>
    <w:bookmarkStart w:id="29" w:name="X614b9726392f270793cd35f3ba273591c5f9f39"/>
    <w:p>
      <w:pPr>
        <w:pStyle w:val="Heading2"/>
      </w:pPr>
      <w:r>
        <w:t xml:space="preserve">5. Case Study: Smart City Traffic Optimization in Beijing</w:t>
      </w:r>
    </w:p>
    <w:p>
      <w:pPr>
        <w:pStyle w:val="FirstParagraph"/>
      </w:pPr>
      <w:r>
        <w:t xml:space="preserve">To illustrate the practical application of this framework, we examine a hypothetical project involving traffic flow optimization in **China Beijing**.</w:t>
      </w:r>
    </w:p>
    <w:bookmarkStart w:id="26" w:name="objective"/>
    <w:p>
      <w:pPr>
        <w:pStyle w:val="Heading3"/>
      </w:pPr>
      <w:r>
        <w:t xml:space="preserve">**5.1 Objective</w:t>
      </w:r>
    </w:p>
    <w:p>
      <w:pPr>
        <w:pStyle w:val="FirstParagraph"/>
      </w:pPr>
      <w:r>
        <w:t xml:space="preserve">Reduce traffic congestion during peak hours by predicting vehicle density and optimizing signal timing.</w:t>
      </w:r>
    </w:p>
    <w:bookmarkEnd w:id="26"/>
    <w:bookmarkStart w:id="27" w:name="data-sources-1"/>
    <w:p>
      <w:pPr>
        <w:pStyle w:val="Heading3"/>
      </w:pPr>
      <w:r>
        <w:t xml:space="preserve">**5.2 Data Sources</w:t>
      </w:r>
    </w:p>
    <w:p>
      <w:pPr>
        <w:numPr>
          <w:ilvl w:val="0"/>
          <w:numId w:val="1003"/>
        </w:numPr>
        <w:pStyle w:val="Compact"/>
      </w:pPr>
      <w:r>
        <w:t xml:space="preserve">**License plate recognition cameras (regulated under strict privacy laws).</w:t>
      </w:r>
    </w:p>
    <w:p>
      <w:pPr>
        <w:numPr>
          <w:ilvl w:val="0"/>
          <w:numId w:val="1003"/>
        </w:numPr>
        <w:pStyle w:val="Compact"/>
      </w:pPr>
      <w:r>
        <w:t xml:space="preserve">**Mobile location data (anonymized).</w:t>
      </w:r>
    </w:p>
    <w:p>
      <w:pPr>
        <w:numPr>
          <w:ilvl w:val="0"/>
          <w:numId w:val="1003"/>
        </w:numPr>
        <w:pStyle w:val="Compact"/>
      </w:pPr>
      <w:r>
        <w:t xml:space="preserve">**Public transport GPS feeds.</w:t>
      </w:r>
    </w:p>
    <w:p>
      <w:pPr>
        <w:pStyle w:val="FirstParagraph"/>
      </w:pPr>
      <w:r>
        <w:t xml:space="preserve">***5.3 Implementation by the Data Scientist**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employed a Graph Neural Network (GNN) to model the road network as a graph. Given the sensitivity of location data in **China Beijing**, raw GPS coordinates were never stored directly on central servers. Instead, differential privacy noise was added at the edge devices before transmission.</w:t>
      </w:r>
    </w:p>
    <w:bookmarkEnd w:id="27"/>
    <w:bookmarkStart w:id="28" w:name="results"/>
    <w:p>
      <w:pPr>
        <w:pStyle w:val="Heading3"/>
      </w:pPr>
      <w:r>
        <w:t xml:space="preserve">**5.4 Results</w:t>
      </w:r>
    </w:p>
    <w:p>
      <w:pPr>
        <w:pStyle w:val="FirstParagraph"/>
      </w:pPr>
      <w:r>
        <w:t xml:space="preserve">The model achieved a 15% improvement in average commute times during peak hours. Crucially, the audit trail demonstrated full compliance with PIPL, as no individual could be re-identified from the dataset used for training.</w:t>
      </w:r>
    </w:p>
    <w:bookmarkEnd w:id="28"/>
    <w:bookmarkEnd w:id="29"/>
    <w:bookmarkStart w:id="30" w:name="Xc5e7a10f7730a8a500391a53737b9d9bf0f146a"/>
    <w:p>
      <w:pPr>
        <w:pStyle w:val="Heading2"/>
      </w:pPr>
      <w:r>
        <w:t xml:space="preserve">6. Ethical Considerations and Bias Mitigation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**China Beijing** must remain vigilant against algorithmic bias that could exacerbate social inequalities. With the rapid adoption of AI in public services, fairness is not just an ethical concern but a regulatory one. The report emphasizes the need for diverse training data sets that represent all demographics within **China Beijing**, including rural-to-urban migrant populations who may be underrepresented in digital footprints.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**China Beijing** is multifaceted, requiring technical excellence alongside rigorous legal compliance. The unique combination of advanced technological infrastructure and strict data governance creates a challenging but rewarding environment for innovation. By adhering to the protocols outlined in this lab report—specifically focusing on data localization, privacy-by-design architecture, and the use of domestic cloud ecosystems—organizations can successfully leverage data-driven insights while respecting the sovereignty and legal standards of **China Beijing**.</w:t>
      </w:r>
    </w:p>
    <w:p>
      <w:pPr>
        <w:pStyle w:val="BodyText"/>
      </w:pPr>
      <w:r>
        <w:t xml:space="preserve">Future research should focus on cross-border data cooperation mechanisms that allow for international collaboration without violating local laws.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continue to evolve as a hybrid professional: part engineer, part analyst, and part compliance officer.</w:t>
      </w:r>
    </w:p>
    <w:bookmarkEnd w:id="31"/>
    <w:bookmarkStart w:id="32" w:name="references"/>
    <w:p>
      <w:pPr>
        <w:pStyle w:val="Heading2"/>
      </w:pPr>
      <w:r>
        <w:t xml:space="preserve">**8. References**</w:t>
      </w:r>
    </w:p>
    <w:p>
      <w:pPr>
        <w:numPr>
          <w:ilvl w:val="0"/>
          <w:numId w:val="1004"/>
        </w:numPr>
        <w:pStyle w:val="Compact"/>
      </w:pPr>
      <w:r>
        <w:t xml:space="preserve">**Cyberspace Administration of China. (2021). *Measures for the Security Assessment of Cross-Border Data Transfer*.</w:t>
      </w:r>
    </w:p>
    <w:p>
      <w:pPr>
        <w:numPr>
          <w:ilvl w:val="0"/>
          <w:numId w:val="1004"/>
        </w:numPr>
        <w:pStyle w:val="Compact"/>
      </w:pPr>
      <w:r>
        <w:t xml:space="preserve">Ministry of State Security. (2017). *Data Security Law*.</w:t>
      </w:r>
    </w:p>
    <w:p>
      <w:pPr>
        <w:pStyle w:val="FirstParagraph"/>
      </w:pPr>
      <w:r>
        <w:rPr>
          <w:bCs/>
          <w:b/>
        </w:rPr>
        <w:t xml:space="preserve">End of Report</w:t>
      </w:r>
      <w:r>
        <w:br/>
      </w:r>
      <w:r>
        <w:t xml:space="preserve">This document is classified as Internal Use Only within the **China Beijing** operational unit.</w:t>
      </w:r>
      <w:r>
        <w:br/>
      </w:r>
      <w:r>
        <w:t xml:space="preserve">Prepared by: Senior Data Scientist</w:t>
      </w:r>
      <w:r>
        <w:br/>
      </w:r>
      <w:r>
        <w:t xml:space="preserve">Location: Beijing, China</w:t>
      </w:r>
    </w:p>
    <w:p>
      <w:pPr>
        <w:pStyle w:val="BodyText"/>
      </w:pPr>
      <w:r>
        <w:t xml:space="preserve">**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Data Science Operations in Beijing</dc:title>
  <dc:creator/>
  <dc:language>en</dc:language>
  <cp:keywords/>
  <dcterms:created xsi:type="dcterms:W3CDTF">2026-07-29T05:01:20Z</dcterms:created>
  <dcterms:modified xsi:type="dcterms:W3CDTF">2026-07-29T05:01:20Z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