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Tech Innovation Hub</w:t>
      </w:r>
      <w:r>
        <w:br/>
      </w:r>
    </w:p>
    <w:p>
      <w:pPr>
        <w:pStyle w:val="BodyText"/>
      </w:pPr>
      <w:r>
        <w:rPr>
          <w:iCs/>
          <w:i/>
        </w:rPr>
        <w:t xml:space="preserve">The Data Science Research Division</w:t>
      </w:r>
      <w:r>
        <w:br/>
      </w:r>
    </w:p>
    <w:bookmarkStart w:id="29" w:name="Xc059520ac45bc9125db1211bc070719f8e0dc36"/>
    <w:p>
      <w:pPr>
        <w:pStyle w:val="Heading1"/>
      </w:pPr>
      <w:r>
        <w:t xml:space="preserve">Laboratory Analysis and Operational Framework for the Role of a Data Scientist within the Specific Geographic and Cultural Context of Japan Tokyo</w:t>
      </w:r>
    </w:p>
    <w:p>
      <w:pPr>
        <w:pStyle w:val="FirstParagraph"/>
      </w:pPr>
      <w:r>
        <w:rPr>
          <w:bCs/>
          <w:b/>
        </w:rPr>
        <w:t xml:space="preserve">Abstract:</w:t>
      </w:r>
    </w:p>
    <w:p>
      <w:pPr>
        <w:pStyle w:val="BodyText"/>
      </w:pPr>
      <w:r>
        <w:t xml:space="preserve">This Lab Report serves as a definitive guide and operational analysis for hiring, training, and deploying a Data Scientist specifically tailored to function effectively in Japan Tokyo. While the technical skills required for data science are globally standardized, the implementation of these skills is heavily influenced by local infrastructure, regulatory frameworks (such as the APPI), cultural nuances regarding communication (</w:t>
      </w:r>
      <w:r>
        <w:rPr>
          <w:iCs/>
          <w:i/>
        </w:rPr>
        <w:t xml:space="preserve">Ho-Ren-So</w:t>
      </w:r>
      <w:r>
        <w:t xml:space="preserve">), and specific market demands unique to Japan Tokyo. This document outlines the necessary competencies, technological stack adaptations, and strategic objectives required for success in this high-density metropolitan hub.</w:t>
      </w:r>
    </w:p>
    <w:bookmarkStart w:id="20" w:name="introduction-and-contextual-background"/>
    <w:p>
      <w:pPr>
        <w:pStyle w:val="Heading2"/>
      </w:pPr>
      <w:r>
        <w:t xml:space="preserve">1. Introduction and Contextual Background</w:t>
      </w:r>
    </w:p>
    <w:p>
      <w:pPr>
        <w:pStyle w:val="FirstParagraph"/>
      </w:pPr>
      <w:r>
        <w:t xml:space="preserve">The role of a Data Scientist is no longer confined to abstract mathematical modeling; it requires deep contextual awareness. In the specific locale of Japan Tokyo, the data landscape is distinct. Japan Tokyo stands as one of the world's most technologically advanced metropolitan areas, yet it retains traditional business practices that contrast with agile Western methodologies. The objective of this report is to define a Data Scientist who can bridge these two worlds: leveraging cutting-edge AI and machine learning techniques while respecting and navigating the complex socio-technical environment of Japan Tokyo.</w:t>
      </w:r>
    </w:p>
    <w:p>
      <w:pPr>
        <w:pStyle w:val="BodyText"/>
      </w:pPr>
      <w:r>
        <w:t xml:space="preserve">The "Lab" aspect of this report refers to an experimental approach to role definition, where we test various competency models against the realities of working in Japan Tokyo. The findings suggest that a pure technical expert often fails without cultural and linguistic adaptability.</w:t>
      </w:r>
    </w:p>
    <w:bookmarkEnd w:id="20"/>
    <w:bookmarkStart w:id="24" w:name="X3e9c1d95364fbcd2ab29cbab25dc0ca24221ce7"/>
    <w:p>
      <w:pPr>
        <w:pStyle w:val="Heading2"/>
      </w:pPr>
      <w:r>
        <w:t xml:space="preserve">2. Technical Competencies Specific to the Region</w:t>
      </w:r>
    </w:p>
    <w:p>
      <w:pPr>
        <w:pStyle w:val="FirstParagraph"/>
      </w:pPr>
      <w:r>
        <w:t xml:space="preserve">A Data Scientist operating in Japan Tokyo must possess a robust technical foundation, but with specific regional adaptations:</w:t>
      </w:r>
    </w:p>
    <w:bookmarkStart w:id="21" w:name="X13ea59ca12509c248641ca34ec8fcc49b8a4224"/>
    <w:p>
      <w:pPr>
        <w:pStyle w:val="Heading3"/>
      </w:pPr>
      <w:r>
        <w:t xml:space="preserve">2.1 Natural Language Processing (NLP) for Japanese</w:t>
      </w:r>
    </w:p>
    <w:p>
      <w:pPr>
        <w:pStyle w:val="FirstParagraph"/>
      </w:pPr>
      <w:r>
        <w:t xml:space="preserve">In Japan Tokyo, data is not exclusively English-based. A significant portion of consumer interaction data resides in Japanese text formats, including Kanji, Hiragana, and Katakana. Therefore, the Data Scientist must demonstrate proficiency in NLP libraries that support tokenization and morphological analysis for the Japanese language (e.g., using</w:t>
      </w:r>
      <w:r>
        <w:t xml:space="preserve"> </w:t>
      </w:r>
      <w:r>
        <w:rPr>
          <w:rStyle w:val="VerbatimChar"/>
        </w:rPr>
        <w:t xml:space="preserve">Mecab</w:t>
      </w:r>
      <w:r>
        <w:t xml:space="preserve"> </w:t>
      </w:r>
      <w:r>
        <w:t xml:space="preserve">or</w:t>
      </w:r>
      <w:r>
        <w:t xml:space="preserve"> </w:t>
      </w:r>
      <w:r>
        <w:rPr>
          <w:rStyle w:val="VerbatimChar"/>
        </w:rPr>
        <w:t xml:space="preserve">UniDic</w:t>
      </w:r>
      <w:r>
        <w:t xml:space="preserve">). Understanding the nuances of honorifics (</w:t>
      </w:r>
      <w:r>
        <w:rPr>
          <w:iCs/>
          <w:i/>
        </w:rPr>
        <w:t xml:space="preserve">Keigo</w:t>
      </w:r>
      <w:r>
        <w:t xml:space="preserve">) in text data is crucial for accurate sentiment analysis in customer feedback loops.</w:t>
      </w:r>
    </w:p>
    <w:bookmarkEnd w:id="21"/>
    <w:bookmarkStart w:id="22" w:name="Xe8705fbb9e56e206f89772f03cc8bbb7659b7e6"/>
    <w:p>
      <w:pPr>
        <w:pStyle w:val="Heading3"/>
      </w:pPr>
      <w:r>
        <w:t xml:space="preserve">2.2 Database Infrastructure and Legacy Integration</w:t>
      </w:r>
    </w:p>
    <w:p>
      <w:pPr>
        <w:pStyle w:val="FirstParagraph"/>
      </w:pPr>
      <w:r>
        <w:t xml:space="preserve">Many established enterprises in Japan Tokyo still rely on legacy systems, including mainframes and older relational database structures, alongside modern cloud solutions. A competent Data Scientist must be proficient in SQL but also skilled in extracting data from these legacy sources using Python or R scripts. Familiarity with both cloud platforms (AWS/Azure which are widely used in Japan Tokyo) and on-premise server management is essential.</w:t>
      </w:r>
    </w:p>
    <w:bookmarkEnd w:id="22"/>
    <w:bookmarkStart w:id="23" w:name="Xee33d3ded18cccfce0f79b0fdb7287b4c404d78"/>
    <w:p>
      <w:pPr>
        <w:pStyle w:val="Heading3"/>
      </w:pPr>
      <w:r>
        <w:t xml:space="preserve">2.3 Regulatory Compliance: APPI and Data Sovereignty</w:t>
      </w:r>
    </w:p>
    <w:p>
      <w:pPr>
        <w:pStyle w:val="FirstParagraph"/>
      </w:pPr>
      <w:r>
        <w:t xml:space="preserve">Data privacy in Japan is governed by the Act on the Protection of Personal Information (APPI). The Data Scientist must understand how to anonymize datasets effectively to comply with these laws before performing any exploratory data analysis. Failure to adhere to these protocols can result in severe legal repercussions for organizations based in Japan Tokyo.</w:t>
      </w:r>
    </w:p>
    <w:bookmarkEnd w:id="23"/>
    <w:bookmarkEnd w:id="24"/>
    <w:bookmarkStart w:id="25" w:name="cultural-and-communication-frameworks"/>
    <w:p>
      <w:pPr>
        <w:pStyle w:val="Heading2"/>
      </w:pPr>
      <w:r>
        <w:t xml:space="preserve">3. Cultural and Communication Frameworks</w:t>
      </w:r>
    </w:p>
    <w:p>
      <w:pPr>
        <w:pStyle w:val="FirstParagraph"/>
      </w:pPr>
      <w:r>
        <w:t xml:space="preserve">The success of a Data Scientist in Japan Tokyo is often determined more by soft skills than by algorithmic complexity. The following cultural frameworks are critical:</w:t>
      </w:r>
    </w:p>
    <w:p>
      <w:pPr>
        <w:numPr>
          <w:ilvl w:val="0"/>
          <w:numId w:val="1001"/>
        </w:numPr>
        <w:pStyle w:val="Compact"/>
      </w:pPr>
      <w:r>
        <w:rPr>
          <w:bCs/>
          <w:b/>
        </w:rPr>
        <w:t xml:space="preserve">Ho-Ren-So (Report, Contact, Consult):</w:t>
      </w:r>
      <w:r>
        <w:t xml:space="preserve"> </w:t>
      </w:r>
      <w:r>
        <w:t xml:space="preserve">This is the cornerstone of Japanese business communication. A Data Scientist must maintain rigorous documentation and regular updates (</w:t>
      </w:r>
      <w:r>
        <w:rPr>
          <w:iCs/>
          <w:i/>
        </w:rPr>
        <w:t xml:space="preserve">Hou</w:t>
      </w:r>
      <w:r>
        <w:t xml:space="preserve">) to stakeholders. They must keep lines of communication open (</w:t>
      </w:r>
      <w:r>
        <w:rPr>
          <w:iCs/>
          <w:i/>
        </w:rPr>
        <w:t xml:space="preserve">Ren</w:t>
      </w:r>
      <w:r>
        <w:t xml:space="preserve">) when issues arise during data pipelines and consult superiors or team members before making irreversible changes to models or infrastructure (</w:t>
      </w:r>
      <w:r>
        <w:rPr>
          <w:iCs/>
          <w:i/>
        </w:rPr>
        <w:t xml:space="preserve">So</w:t>
      </w:r>
      <w:r>
        <w:t xml:space="preserve">). Silence is often interpreted as disagreement, so proactive reporting is vital.</w:t>
      </w:r>
    </w:p>
    <w:p>
      <w:pPr>
        <w:numPr>
          <w:ilvl w:val="0"/>
          <w:numId w:val="1001"/>
        </w:numPr>
        <w:pStyle w:val="Compact"/>
      </w:pPr>
      <w:r>
        <w:rPr>
          <w:bCs/>
          <w:b/>
        </w:rPr>
        <w:t xml:space="preserve">Consensus Building (Nemawashi):</w:t>
      </w:r>
      <w:r>
        <w:t xml:space="preserve"> </w:t>
      </w:r>
      <w:r>
        <w:t xml:space="preserve">Before presenting a final data model, a Data Scientist should engage in informal discussions with key stakeholders to gather feedback and build consensus. This pre-meeting process ensures that the presentation of findings in Japan Tokyo meets with smooth adoption rather than resistance.</w:t>
      </w:r>
    </w:p>
    <w:p>
      <w:pPr>
        <w:numPr>
          <w:ilvl w:val="0"/>
          <w:numId w:val="1001"/>
        </w:numPr>
        <w:pStyle w:val="Compact"/>
      </w:pPr>
      <w:r>
        <w:rPr>
          <w:bCs/>
          <w:b/>
        </w:rPr>
        <w:t xml:space="preserve">Linguistic Proficiency:</w:t>
      </w:r>
      <w:r>
        <w:t xml:space="preserve"> </w:t>
      </w:r>
      <w:r>
        <w:t xml:space="preserve">While many tech professionals in Japan Tokyo speak English, official documentation, meetings, and stakeholder interactions are predominantly conducted in Japanese. Business-level fluency (JLPT N2 or higher) is a prerequisite for effective collaboration with non-technical departments such as Sales and Operations.</w:t>
      </w:r>
    </w:p>
    <w:bookmarkEnd w:id="25"/>
    <w:bookmarkStart w:id="26" w:name="X382eaac13a1007d48b23ded9b153a528bbf4b28"/>
    <w:p>
      <w:pPr>
        <w:pStyle w:val="Heading2"/>
      </w:pPr>
      <w:r>
        <w:t xml:space="preserve">4. Key Performance Indicators (KPIs) for the Role</w:t>
      </w:r>
    </w:p>
    <w:p>
      <w:pPr>
        <w:pStyle w:val="FirstParagraph"/>
      </w:pPr>
      <w:r>
        <w:t xml:space="preserve">To evaluate the efficacy of a Data Scientist in this specific context, we propose the following KPIs:</w:t>
      </w:r>
    </w:p>
    <w:p>
      <w:pPr>
        <w:pStyle w:val="BodyText"/>
      </w:pPr>
      <w:r>
        <w:t xml:space="preserve">KPI Category</w:t>
      </w:r>
    </w:p>
    <w:p>
      <w:pPr>
        <w:pStyle w:val="BodyText"/>
      </w:pPr>
      <w:r>
        <w:t xml:space="preserve">Metric</w:t>
      </w:r>
    </w:p>
    <w:p>
      <w:pPr>
        <w:pStyle w:val="BodyText"/>
      </w:pPr>
      <w:r>
        <w:t xml:space="preserve">Description for Japan Tokyo Context</w:t>
      </w:r>
    </w:p>
    <w:p>
      <w:pPr>
        <w:pStyle w:val="BodyText"/>
      </w:pPr>
      <w:r>
        <w:rPr>
          <w:bCs/>
          <w:b/>
        </w:rPr>
        <w:t xml:space="preserve">Predictive Accuracy</w:t>
      </w:r>
    </w:p>
    <w:p>
      <w:pPr>
        <w:pStyle w:val="BodyText"/>
      </w:pPr>
      <w:r>
        <w:t xml:space="preserve">F1 Score / RMSE</w:t>
      </w:r>
    </w:p>
    <w:p>
      <w:pPr>
        <w:pStyle w:val="BodyText"/>
      </w:pPr>
      <w:r>
        <w:t xml:space="preserve">Standard technical performance metrics, but validated against local market behaviors.</w:t>
      </w:r>
    </w:p>
    <w:p>
      <w:pPr>
        <w:pStyle w:val="BodyText"/>
      </w:pPr>
      <w:r>
        <w:rPr>
          <w:bCs/>
          <w:b/>
        </w:rPr>
        <w:t xml:space="preserve">Data Governance Compliance</w:t>
      </w:r>
    </w:p>
    <w:p>
      <w:pPr>
        <w:pStyle w:val="BodyText"/>
      </w:pPr>
      <w:r>
        <w:t xml:space="preserve">APPI Audit Pass Rate</w:t>
      </w:r>
    </w:p>
    <w:p>
      <w:pPr>
        <w:pStyle w:val="BodyText"/>
      </w:pPr>
      <w:r>
        <w:t xml:space="preserve">Percentage of datasets that pass internal privacy audits without requiring re-processing. Critical for trust in Japan Tokyo enterprises.</w:t>
      </w:r>
    </w:p>
    <w:p>
      <w:pPr>
        <w:pStyle w:val="BodyText"/>
      </w:pPr>
      <w:r>
        <w:rPr>
          <w:bCs/>
          <w:b/>
        </w:rPr>
        <w:t xml:space="preserve">Cultural Integration</w:t>
      </w:r>
    </w:p>
    <w:p>
      <w:pPr>
        <w:pStyle w:val="BodyText"/>
      </w:pPr>
      <w:r>
        <w:t xml:space="preserve">Stakeholder Satisfaction Score</w:t>
      </w:r>
    </w:p>
    <w:p>
      <w:pPr>
        <w:pStyle w:val="BodyText"/>
      </w:pPr>
      <w:r>
        <w:t xml:space="preserve">Survey results from local team members regarding the Data Scientist's responsiveness and adherence to</w:t>
      </w:r>
      <w:r>
        <w:t xml:space="preserve"> </w:t>
      </w:r>
      <w:r>
        <w:rPr>
          <w:iCs/>
          <w:i/>
        </w:rPr>
        <w:t xml:space="preserve">Ho-Ren-So</w:t>
      </w:r>
      <w:r>
        <w:t xml:space="preserve">.</w:t>
      </w:r>
    </w:p>
    <w:p>
      <w:pPr>
        <w:pStyle w:val="BodyText"/>
      </w:pPr>
      <w:r>
        <w:t xml:space="preserve">Business Impact</w:t>
      </w:r>
    </w:p>
    <w:p>
      <w:pPr>
        <w:pStyle w:val="BodyText"/>
      </w:pPr>
      <w:r>
        <w:t xml:space="preserve">Pipeline Efficiency in Local Systems</w:t>
      </w:r>
    </w:p>
    <w:p>
      <w:pPr>
        <w:pStyle w:val="BodyText"/>
      </w:pPr>
      <w:r>
        <w:t xml:space="preserve">Reduction in time-to-insight when processing Japanese-language customer data compared to baseline.</w:t>
      </w:r>
    </w:p>
    <w:bookmarkEnd w:id="26"/>
    <w:bookmarkStart w:id="27" w:name="challenges-and-mitigation-strategies"/>
    <w:p>
      <w:pPr>
        <w:pStyle w:val="Heading2"/>
      </w:pPr>
      <w:r>
        <w:t xml:space="preserve">5. Challenges and Mitigation Strategies</w:t>
      </w:r>
    </w:p>
    <w:p>
      <w:pPr>
        <w:pStyle w:val="FirstParagraph"/>
      </w:pPr>
      <w:r>
        <w:rPr>
          <w:bCs/>
          <w:b/>
        </w:rPr>
        <w:t xml:space="preserve">The Language Barrier:</w:t>
      </w:r>
      <w:r>
        <w:br/>
      </w:r>
      <w:r>
        <w:t xml:space="preserve">A common challenge for foreign Data Scientists is the technical vocabulary gap. Mitigation involves creating a bilingual glossary of data science terms specific to the organization and investing in language training for local staff who may lack English proficiency.</w:t>
      </w:r>
    </w:p>
    <w:p>
      <w:pPr>
        <w:pStyle w:val="BodyText"/>
      </w:pPr>
      <w:r>
        <w:rPr>
          <w:bCs/>
          <w:b/>
        </w:rPr>
        <w:t xml:space="preserve">Speed of Decision Making:</w:t>
      </w:r>
      <w:r>
        <w:br/>
      </w:r>
      <w:r>
        <w:t xml:space="preserve">Japan Tokyo business culture can be hierarchical, leading to slower decision-making processes. A Data Scientist must build patience into their project timelines and provide incremental value through small, frequent wins rather than waiting for a massive final deliverable.</w:t>
      </w:r>
    </w:p>
    <w:bookmarkEnd w:id="27"/>
    <w:bookmarkStart w:id="28" w:name="conclusion"/>
    <w:p>
      <w:pPr>
        <w:pStyle w:val="Heading2"/>
      </w:pPr>
      <w:r>
        <w:t xml:space="preserve">6. Conclusion</w:t>
      </w:r>
    </w:p>
    <w:p>
      <w:pPr>
        <w:pStyle w:val="FirstParagraph"/>
      </w:pPr>
      <w:r>
        <w:t xml:space="preserve">This Lab Report concludes that the role of a Data Scientist in Japan Tokyo is not merely a technical position but a hybrid cultural-technical ambassadorial role. The ideal candidate must possess rigorous quantitative skills in machine learning and data engineering, deeply integrated with an understanding of Japanese business etiquette, language proficiency, and strict adherence to local data privacy laws. Companies operating in Japan Tokyo that fail to recognize the necessity of these adaptive skills will likely face implementation failures despite having technically superior algorithms.</w:t>
      </w:r>
    </w:p>
    <w:p>
      <w:pPr>
        <w:pStyle w:val="BodyText"/>
      </w:pPr>
      <w:r>
        <w:t xml:space="preserve">The integration of a Data Scientist who respects the nuances of Japan Tokyo ensures that data initiatives are not only mathematically sound but also culturally sustainable and legally compliant. Future iterations of this report will focus on specific industry verticals such as automotive, retail, and fintech within the Japan Tokyo market to further refine these competency models.</w:t>
      </w:r>
    </w:p>
    <w:p>
      <w:r>
        <w:pict>
          <v:rect style="width:0;height:1.5pt" o:hralign="center" o:hrstd="t" o:hr="t"/>
        </w:pict>
      </w:r>
    </w:p>
    <w:p>
      <w:pPr>
        <w:pStyle w:val="FirstParagraph"/>
      </w:pPr>
      <w:r>
        <w:rPr>
          <w:iCs/>
          <w:i/>
        </w:rP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Japan Tokyo</dc:title>
  <dc:creator/>
  <dc:language>en</dc:language>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