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w:t>
      </w:r>
      <w:r>
        <w:t xml:space="preserve"> </w:t>
      </w:r>
      <w:r>
        <w:t xml:space="preserve">Report</w:t>
      </w:r>
      <w:r>
        <w:t xml:space="preserve"> </w:t>
      </w:r>
      <w:r>
        <w:t xml:space="preserve">-</w:t>
      </w:r>
      <w:r>
        <w:t xml:space="preserve"> </w:t>
      </w:r>
      <w:r>
        <w:t xml:space="preserve">Brisbane,</w:t>
      </w:r>
      <w:r>
        <w:t xml:space="preserve"> </w:t>
      </w:r>
      <w:r>
        <w:t xml:space="preserve">Australia</w:t>
      </w:r>
    </w:p>
    <w:p>
      <w:pPr>
        <w:pStyle w:val="FirstParagraph"/>
      </w:pPr>
      <w:r>
        <w:t xml:space="preserve">```html</w:t>
      </w:r>
    </w:p>
    <w:bookmarkStart w:id="20" w:name="dental-laboratory-report"/>
    <w:p>
      <w:pPr>
        <w:pStyle w:val="Heading1"/>
      </w:pPr>
      <w:r>
        <w:t xml:space="preserve">Dental Laboratory Report</w:t>
      </w:r>
    </w:p>
    <w:p>
      <w:pPr>
        <w:pStyle w:val="FirstParagraph"/>
      </w:pPr>
      <w:r>
        <w:rPr>
          <w:bCs/>
          <w:b/>
        </w:rPr>
        <w:t xml:space="preserve">Jurisdiction:</w:t>
      </w:r>
      <w:r>
        <w:t xml:space="preserve">Brisbane, Queensland, Australia</w:t>
      </w:r>
    </w:p>
    <w:p>
      <w:pPr>
        <w:pStyle w:val="BodyText"/>
      </w:pPr>
      <w:r>
        <w:rPr>
          <w:bCs/>
          <w:b/>
        </w:rPr>
        <w:t xml:space="preserve">Date of Issue:</w:t>
      </w:r>
    </w:p>
    <w:p>
      <w:pPr>
        <w:pStyle w:val="BodyText"/>
      </w:pPr>
      <w:r>
        <w:t xml:space="preserve">DENT-BNE-8894-AU</w:t>
      </w:r>
    </w:p>
    <w:bookmarkEnd w:id="20"/>
    <w:bookmarkStart w:id="21" w:name="patient-information"/>
    <w:p>
      <w:pPr>
        <w:pStyle w:val="Heading3"/>
      </w:pPr>
      <w:r>
        <w:t xml:space="preserve">Patient Information</w:t>
      </w:r>
    </w:p>
    <w:p>
      <w:pPr>
        <w:pStyle w:val="FirstParagraph"/>
      </w:pPr>
      <w:r>
        <w:rPr>
          <w:bCs/>
          <w:b/>
        </w:rPr>
        <w:t xml:space="preserve">Name:</w:t>
      </w:r>
      <w:r>
        <w:t xml:space="preserve">Jane Doe (Pseudonym for Privacy Compliance under Australian Privacy Principles)</w:t>
      </w:r>
    </w:p>
    <w:p>
      <w:pPr>
        <w:pStyle w:val="BodyText"/>
      </w:pPr>
      <w:r>
        <w:rPr>
          <w:bCs/>
          <w:b/>
        </w:rPr>
        <w:t xml:space="preserve">Date of Birth:</w:t>
      </w:r>
    </w:p>
    <w:p>
      <w:pPr>
        <w:pStyle w:val="BodyText"/>
      </w:pPr>
      <w:r>
        <w:rPr>
          <w:bCs/>
          <w:b/>
        </w:rPr>
        <w:t xml:space="preserve">NHS/Medicare Number:P-REF-9921-AU</w:t>
      </w:r>
    </w:p>
    <w:p>
      <w:pPr>
        <w:pStyle w:val="BodyText"/>
      </w:pPr>
      <w:r>
        <w:rPr>
          <w:bCs/>
          <w:b/>
        </w:rPr>
        <w:t xml:space="preserve">Treating Dentist:</w:t>
      </w:r>
    </w:p>
    <w:p>
      <w:pPr>
        <w:pStyle w:val="BodyText"/>
      </w:pPr>
      <w:r>
        <w:t xml:space="preserve">Laboratory Partner:AusDent Labs Pty Ltd (Registered with the Australian Dental Association)</w:t>
      </w:r>
    </w:p>
    <w:bookmarkEnd w:id="21"/>
    <w:bookmarkStart w:id="22" w:name="Xaa61d361d541e443f5e8da603f0854b1b2b47cb"/>
    <w:p>
      <w:pPr>
        <w:pStyle w:val="Heading2"/>
      </w:pPr>
      <w:r>
        <w:t xml:space="preserve">1. Executive Summary and Purpose of this Laboratory Report</w:t>
      </w:r>
    </w:p>
    <w:p>
      <w:pPr>
        <w:pStyle w:val="FirstParagraph"/>
      </w:pPr>
      <w:r>
        <w:t xml:space="preserve">This document serves as a comprehensive laboratory report detailing the findings from oral health assessments conducted within Brisbane, Australia. In alignment with strict Australian healthcare standards, this report focuses on the procedural analysis of dental interventions performed by certified Dentist professionals in the Brisbane metropolitan area. The primary objective is to ensure that all clinical outcomes meet the rigorous quality assurance protocols mandated by Health Canada and specifically tailored for Queensland’s regulatory framework.</w:t>
      </w:r>
    </w:p>
    <w:p>
      <w:pPr>
        <w:pStyle w:val="BodyText"/>
      </w:pPr>
      <w:r>
        <w:t xml:space="preserve">The context of this Lab Report is critical, as Brisbane represents a major hub for advanced dental research and clinical practice in Australia. Consequently, the standards applied here exceed basic requirements, incorporating state-of-the-art digital imaging and AI-assisted diagnostics commonly found in top-tier clinics across South East Queensland. This report confirms that all procedures adhered to the National Safety and Quality Health Service (NSQHS) Standards.</w:t>
      </w:r>
    </w:p>
    <w:bookmarkEnd w:id="22"/>
    <w:bookmarkStart w:id="26" w:name="clinical-examination-methodology"/>
    <w:p>
      <w:pPr>
        <w:pStyle w:val="Heading2"/>
      </w:pPr>
      <w:r>
        <w:t xml:space="preserve">2. Clinical Examination Methodology</w:t>
      </w:r>
    </w:p>
    <w:p>
      <w:pPr>
        <w:pStyle w:val="FirstParagraph"/>
      </w:pPr>
      <w:r>
        <w:t xml:space="preserve">To ensure accuracy, a multi-modal diagnostic approach was utilized. This methodology reflects best practices currently endorsed by the Australian Dental Board for Dentist licensure and continuous professional development.</w:t>
      </w:r>
    </w:p>
    <w:bookmarkStart w:id="23" w:name="digital-radiography-cbct"/>
    <w:p>
      <w:pPr>
        <w:pStyle w:val="Heading3"/>
      </w:pPr>
      <w:r>
        <w:t xml:space="preserve">2.1 Digital Radiography (CBCT)</w:t>
      </w:r>
    </w:p>
    <w:p>
      <w:pPr>
        <w:pStyle w:val="FirstParagraph"/>
      </w:pPr>
      <w:r>
        <w:t xml:space="preserve">Cone Beam Computed Tomography (CBCT) scans were acquired using a 3D imaging system located at our partner facility in Brisbane CBD. These images provide high-resolution three-dimensional views of the maxilla, mandible, and surrounding soft tissues. The resolution achieved was sufficient to detect early signs of periapical pathology that are often missed in traditional 2D radiographs.</w:t>
      </w:r>
    </w:p>
    <w:bookmarkEnd w:id="23"/>
    <w:bookmarkStart w:id="24" w:name="intra-oral-scanning"/>
    <w:p>
      <w:pPr>
        <w:pStyle w:val="Heading3"/>
      </w:pPr>
      <w:r>
        <w:t xml:space="preserve">2.2 Intra-Oral Scanning</w:t>
      </w:r>
    </w:p>
    <w:p>
      <w:pPr>
        <w:pStyle w:val="FirstParagraph"/>
      </w:pPr>
      <w:r>
        <w:t xml:space="preserve">Digital impressions were taken using an intraoral scanner (IOS) rather than conventional alginate or polyether materials. This technology is increasingly prevalent in Brisbane dental practices due to its enhanced patient comfort and precision. The resulting digital models allowed for precise fabrication of restorative devices, ensuring a perfect fit and minimizing chair time.</w:t>
      </w:r>
    </w:p>
    <w:bookmarkEnd w:id="24"/>
    <w:bookmarkStart w:id="25" w:name="soft-tissue-analysis"/>
    <w:p>
      <w:pPr>
        <w:pStyle w:val="Heading3"/>
      </w:pPr>
      <w:r>
        <w:t xml:space="preserve">2.3 Soft Tissue Analysis</w:t>
      </w:r>
    </w:p>
    <w:p>
      <w:pPr>
        <w:pStyle w:val="FirstParagraph"/>
      </w:pPr>
      <w:r>
        <w:t xml:space="preserve">A thorough visual inspection of the gingival tissues, oral mucosa, and tongue was conducted. Special attention was paid to areas prone to squamous cell carcinoma, particularly in patients with a history of sun exposure common in outdoor occupational roles prevalent in Australia.</w:t>
      </w:r>
    </w:p>
    <w:bookmarkEnd w:id="25"/>
    <w:bookmarkEnd w:id="26"/>
    <w:bookmarkStart w:id="27" w:name="laboratory-findings-and-analysis"/>
    <w:p>
      <w:pPr>
        <w:pStyle w:val="Heading2"/>
      </w:pPr>
      <w:r>
        <w:t xml:space="preserve">3. Laboratory Findings and Analysis</w:t>
      </w:r>
    </w:p>
    <w:p>
      <w:pPr>
        <w:pStyle w:val="FirstParagraph"/>
      </w:pPr>
      <w:r>
        <w:t xml:space="preserve">The data collected from the aforementioned methods was analyzed by our senior dental technicians and reviewed by the supervising Dentist. The following findings are documented below:</w:t>
      </w:r>
    </w:p>
    <w:p>
      <w:pPr>
        <w:pStyle w:val="BodyText"/>
      </w:pPr>
      <w:r>
        <w:t xml:space="preserve">Tooth/Region</w:t>
      </w:r>
    </w:p>
    <w:p>
      <w:pPr>
        <w:pStyle w:val="BodyText"/>
      </w:pPr>
      <w:r>
        <w:t xml:space="preserve">Clinical Finding</w:t>
      </w:r>
    </w:p>
    <w:p>
      <w:pPr>
        <w:pStyle w:val="BodyText"/>
      </w:pPr>
      <w:r>
        <w:t xml:space="preserve">Laboratory Conclusion</w:t>
      </w:r>
    </w:p>
    <w:p>
      <w:pPr>
        <w:pStyle w:val="BodyText"/>
      </w:pPr>
      <w:r>
        <w:t xml:space="preserve">&lt; tr&gt;</w:t>
      </w:r>
      <w:r>
        <w:t xml:space="preserve"> </w:t>
      </w:r>
      <w:r>
        <w:t xml:space="preserve">TD&gt;Moderate occlusal wear detected. No active caries observed.</w:t>
      </w:r>
    </w:p>
    <w:bookmarkEnd w:id="27"/>
    <w:p>
      <w:pPr>
        <w:pStyle w:val="BodyText"/>
      </w:pPr>
      <w:r>
        <w:t xml:space="preserve">Possible bruxism; recommend night guard fabrication.</w:t>
      </w:r>
    </w:p>
    <w:p>
      <w:pPr>
        <w:pStyle w:val="BodyText"/>
      </w:pPr>
      <w:r>
        <w:t xml:space="preserve">Tooth 36 TD&gt;Caries extending into the dentin, proximal to the pulp chamber.</w:t>
      </w:r>
    </w:p>
    <w:p>
      <w:pPr>
        <w:pStyle w:val="BodyText"/>
      </w:pPr>
      <w:r>
        <w:t xml:space="preserve">Immediate restoration required. Root canal therapy may be necessary if vital testing fails.</w:t>
      </w:r>
    </w:p>
    <w:p>
      <w:pPr>
        <w:pStyle w:val="BodyText"/>
      </w:pPr>
      <w:r>
        <w:t xml:space="preserve">Gingival Margin (Quadrant 1) TD&gt;Mild gingivitis indicated by redness and slight bleeding on probing.</w:t>
      </w:r>
    </w:p>
    <w:p>
      <w:pPr>
        <w:pStyle w:val="BodyText"/>
      </w:pPr>
      <w:r>
        <w:t xml:space="preserve">Dietary counseling and improved oral hygiene instructions recommended.</w:t>
      </w:r>
    </w:p>
    <w:bookmarkStart w:id="30" w:name="X4bb5a7bef357fe4e1f488b42f7e55b738c3deef"/>
    <w:p>
      <w:pPr>
        <w:pStyle w:val="Heading2"/>
      </w:pPr>
      <w:r>
        <w:t xml:space="preserve">4. Treatment Plan Recommendations for Brisbane Patients</w:t>
      </w:r>
    </w:p>
    <w:p>
      <w:pPr>
        <w:pStyle w:val="FirstParagraph"/>
      </w:pPr>
      <w:r>
        <w:t xml:space="preserve">Based on the laboratory analysis, a tailored treatment plan has been developed. It is imperative that patients in Australia, particularly those residing in humid climates like Brisbane, adhere to specific preventive measures to maintain oral health.</w:t>
      </w:r>
    </w:p>
    <w:bookmarkStart w:id="28" w:name="immediate-interventions"/>
    <w:p>
      <w:pPr>
        <w:pStyle w:val="Heading3"/>
      </w:pPr>
      <w:r>
        <w:t xml:space="preserve">4.1 Immediate Interventions</w:t>
      </w:r>
    </w:p>
    <w:p>
      <w:pPr>
        <w:pStyle w:val="FirstParagraph"/>
      </w:pPr>
      <w:r>
        <w:rPr>
          <w:bCs/>
          <w:b/>
        </w:rPr>
        <w:t xml:space="preserve">Restorative Care:Tooth 36 requires immediate attention. A composite buildup or onlay is recommended based on the extent of decay determined by CBCT analysis.</w:t>
      </w:r>
    </w:p>
    <w:p>
      <w:pPr>
        <w:pStyle w:val="BodyText"/>
      </w:pPr>
      <w:r>
        <w:rPr>
          <w:bCs/>
          <w:b/>
        </w:rPr>
        <w:t xml:space="preserve">Periodontal Therapy:A non-surgical scaling and root planing (deep cleaning) is advised for Quadrant 1 to reverse early-stage gum disease.</w:t>
      </w:r>
    </w:p>
    <w:bookmarkEnd w:id="28"/>
    <w:bookmarkStart w:id="29" w:name="long-term-preventive-strategies"/>
    <w:p>
      <w:pPr>
        <w:pStyle w:val="Heading3"/>
      </w:pPr>
      <w:r>
        <w:t xml:space="preserve">4.2 Long-Term Preventive Strategies</w:t>
      </w:r>
    </w:p>
    <w:p>
      <w:pPr>
        <w:pStyle w:val="FirstParagraph"/>
      </w:pPr>
      <w:r>
        <w:t xml:space="preserve">Given the local water fluoridation standards in Brisbane, which are scientifically proven to reduce dental caries, patients are encouraged to maintain regular six-monthly check-ups. Furthermore, due to the high UV index in Queensland residents must utilize lip balm with SPF protection during outdoor activities to prevent lip cancer and actinic cheilitis.</w:t>
      </w:r>
    </w:p>
    <w:bookmarkEnd w:id="29"/>
    <w:bookmarkEnd w:id="30"/>
    <w:bookmarkStart w:id="31" w:name="compliance-and-regulatory-standards"/>
    <w:p>
      <w:pPr>
        <w:pStyle w:val="Heading2"/>
      </w:pPr>
      <w:r>
        <w:t xml:space="preserve">5. Compliance and Regulatory Standards</w:t>
      </w:r>
    </w:p>
    <w:p>
      <w:pPr>
        <w:pStyle w:val="FirstParagraph"/>
      </w:pPr>
      <w:r>
        <w:t xml:space="preserve">This Lab Report affirms that all diagnostic tools used are compliant with the Therapeutic Goods Administration (TGA) guidelines in Australia. The Dentist performing these procedures holds current registration with the Dental Board of Australia, ensuring ethical and safe patient care.</w:t>
      </w:r>
    </w:p>
    <w:p>
      <w:pPr>
        <w:pStyle w:val="BodyText"/>
      </w:pPr>
      <w:r>
        <w:t xml:space="preserve">Privacy of patient data is strictly governed by the Privacy Act 1988 (Cth). All digital records generated during this laboratory process are encrypted and stored on secure servers located within Australian jurisdictions. Access to these records is restricted to authorized healthcare providers involved in the direct treatment of the patient.</w:t>
      </w:r>
    </w:p>
    <w:bookmarkEnd w:id="31"/>
    <w:bookmarkStart w:id="32" w:name="conclusion"/>
    <w:p>
      <w:pPr>
        <w:pStyle w:val="Heading2"/>
      </w:pPr>
      <w:r>
        <w:t xml:space="preserve">6. Conclusion</w:t>
      </w:r>
    </w:p>
    <w:p>
      <w:pPr>
        <w:pStyle w:val="FirstParagraph"/>
      </w:pPr>
      <w:r>
        <w:t xml:space="preserve">In conclusion, this Lab Report underscores the importance of integrating advanced laboratory technology with expert clinical judgment in Brisbane’s dental landscape. The findings highlight a mix of restorative needs and preventive opportunities for the patient. It is strongly recommended that follow-up appointments be scheduled promptly to address the identified carious lesion in Tooth 36.</w:t>
      </w:r>
    </w:p>
    <w:p>
      <w:pPr>
        <w:pStyle w:val="BodyText"/>
      </w:pPr>
      <w:r>
        <w:t xml:space="preserve">For residents of Australia, maintaining oral health is not merely about aesthetics but is integral to overall systemic health. This report serves as a formal record of current dental status and outlines a clear pathway toward optimal oral wellness under the supervision of qualified Dentist practitioners in Brisbane.</w:t>
      </w:r>
    </w:p>
    <w:bookmarkEnd w:id="32"/>
    <w:p>
      <w:pPr>
        <w:pStyle w:val="BodyText"/>
      </w:pPr>
      <w:r>
        <w:rPr>
          <w:bCs/>
          <w:b/>
        </w:rPr>
        <w:t xml:space="preserve">Authorized Signature:</w:t>
      </w:r>
    </w:p>
    <w:p>
      <w:pPr>
        <w:pStyle w:val="BodyText"/>
      </w:pPr>
      <w:r>
        <w:rPr>
          <w:iCs/>
          <w:i/>
        </w:rPr>
        <w:t xml:space="preserve">Dr. Sarah Jenkins, Lead Clinical Director</w:t>
      </w:r>
    </w:p>
    <w:p>
      <w:pPr>
        <w:pStyle w:val="BodyText"/>
      </w:pPr>
      <w:r>
        <w:t xml:space="preserve">AusDent Labs Pty Ltd</w:t>
      </w:r>
      <w:r>
        <w:br/>
      </w:r>
      <w:r>
        <w:t xml:space="preserve">Brisbane, Queensland</w:t>
      </w:r>
      <w:r>
        <w:br/>
      </w:r>
      <w:r>
        <w:t xml:space="preserve">Australia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 Report - Brisbane, Australia</dc:title>
  <dc:creator/>
  <dc:language>en</dc:language>
  <cp:keywords/>
  <dcterms:created xsi:type="dcterms:W3CDTF">2026-07-29T06:36:53Z</dcterms:created>
  <dcterms:modified xsi:type="dcterms:W3CDTF">2026-07-29T06:36:53Z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