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for</w:t>
      </w:r>
      <w:r>
        <w:t xml:space="preserve"> </w:t>
      </w:r>
      <w:r>
        <w:t xml:space="preserve">Australia</w:t>
      </w:r>
      <w:r>
        <w:t xml:space="preserve"> </w:t>
      </w:r>
      <w:r>
        <w:t xml:space="preserve">Melbourne</w:t>
      </w:r>
    </w:p>
    <w:bookmarkStart w:id="28" w:name="Xf180869bbd5600606be4887a481afefb8765df7"/>
    <w:p>
      <w:pPr>
        <w:pStyle w:val="Heading1"/>
      </w:pPr>
      <w:r>
        <w:t xml:space="preserve">Clinical Laboratory Report: Dental Prosthetics and Diagnostic Analysis</w:t>
      </w:r>
    </w:p>
    <w:p>
      <w:pPr>
        <w:pStyle w:val="FirstParagraph"/>
      </w:pPr>
      <w:r>
        <w:rPr>
          <w:bCs/>
          <w:b/>
        </w:rPr>
        <w:t xml:space="preserve">Date:</w:t>
      </w:r>
      <w:r>
        <w:t xml:space="preserve"> </w:t>
      </w:r>
      <w:r>
        <w:t xml:space="preserve">October 24, 2023</w:t>
      </w:r>
      <w:r>
        <w:br/>
      </w:r>
      <w:r>
        <w:rPr>
          <w:bCs/>
          <w:b/>
        </w:rPr>
        <w:t xml:space="preserve">Facility Location:</w:t>
      </w:r>
      <w:r>
        <w:t xml:space="preserve"> </w:t>
      </w:r>
      <w:r>
        <w:t xml:space="preserve">Melbourne, Victoria, Australia</w:t>
      </w:r>
      <w:r>
        <w:br/>
      </w:r>
      <w:r>
        <w:rPr>
          <w:bCs/>
          <w:b/>
        </w:rPr>
        <w:t xml:space="preserve">Patient ID Reference:</w:t>
      </w:r>
      <w:r>
        <w:t xml:space="preserve"> </w:t>
      </w:r>
      <w:r>
        <w:t xml:space="preserve">MEL-7789-DBX</w:t>
      </w:r>
      <w:r>
        <w:br/>
      </w:r>
    </w:p>
    <w:bookmarkStart w:id="20" w:name="executive-summary"/>
    <w:p>
      <w:pPr>
        <w:pStyle w:val="Heading2"/>
      </w:pPr>
      <w:r>
        <w:t xml:space="preserve">1. Executive Summary</w:t>
      </w:r>
    </w:p>
    <w:p>
      <w:pPr>
        <w:pStyle w:val="FirstParagraph"/>
      </w:pPr>
      <w:r>
        <w:t xml:space="preserve">This laboratory report details the comprehensive analysis, fabrication, and quality assurance protocols executed by our dental laboratory in response to a complex restorative prescription from a general practitioner located in Melbourne. The primary objective was to design and manufacture high-fidelity ceramic crowns and a fixed bridge structure that adhere strictly to Australian Dental Standards (ADS) while meeting the aesthetic demands of the patient demographic in Victoria. This document serves as both a clinical record for the attending dentist in Melbourne and a quality control log for our laboratory technicians. The integration of advanced CAD/CAM technology with traditional craftsmanship ensures that every aspect of this</w:t>
      </w:r>
      <w:r>
        <w:t xml:space="preserve"> </w:t>
      </w:r>
      <w:r>
        <w:rPr>
          <w:bCs/>
          <w:b/>
        </w:rPr>
        <w:t xml:space="preserve">Dentist</w:t>
      </w:r>
      <w:r>
        <w:t xml:space="preserve"> </w:t>
      </w:r>
      <w:r>
        <w:t xml:space="preserve">prescription is fulfilled with precision, durability, and aesthetic harmony suitable for the busy clinical environment of Australia's cultural capital.</w:t>
      </w:r>
    </w:p>
    <w:bookmarkEnd w:id="20"/>
    <w:bookmarkStart w:id="21" w:name="X9aa52f59bcff84121c84c549bc14fc299c0495c"/>
    <w:p>
      <w:pPr>
        <w:pStyle w:val="Heading2"/>
      </w:pPr>
      <w:r>
        <w:t xml:space="preserve">2. Patient Clinical History and Diagnostic Data</w:t>
      </w:r>
    </w:p>
    <w:p>
      <w:pPr>
        <w:pStyle w:val="FirstParagraph"/>
      </w:pPr>
      <w:r>
        <w:t xml:space="preserve">The patient presented with significant attrition on the maxillary anterior teeth, specifically involving the central incisors (teeth 11 and 21) which required full coverage restorations due to previous large composite failures. Additionally, there was a requirement for a three-unit bridge replacing the missing mandibular lateral incisor (tooth 32). The referral form provided by the Melbourne-based clinic highlighted concerns regarding occlusal harmony in the context of bruxism, a condition increasingly prevalent among urban professionals in Australia.</w:t>
      </w:r>
      <w:r>
        <w:t xml:space="preserve"> </w:t>
      </w:r>
      <w:r>
        <w:t xml:space="preserve">Diagnostic impressions were received via intraoral digital scan files (STL format) alongside a Cone Beam Computed Tomography (CBCT) scan to assess bone density and root structure integrity. The laboratory team reviewed these digital models meticulously to ensure accurate marginal fit, particularly at the gumline interface, which is critical for long-term periodontal health in the humid subtropical climate of Melbourne where bacterial plaque accumulation can be accelerated if margins are not perfectly sealed.</w:t>
      </w:r>
    </w:p>
    <w:bookmarkEnd w:id="21"/>
    <w:bookmarkStart w:id="24" w:name="X45bee09b33712b15df09deeeb25e92f236ac1be"/>
    <w:p>
      <w:pPr>
        <w:pStyle w:val="Heading2"/>
      </w:pPr>
      <w:r>
        <w:t xml:space="preserve">3. Laboratory Procedures and Material Science</w:t>
      </w:r>
    </w:p>
    <w:bookmarkStart w:id="22" w:name="design-phase-digital-dentistry"/>
    <w:p>
      <w:pPr>
        <w:pStyle w:val="Heading3"/>
      </w:pPr>
      <w:r>
        <w:t xml:space="preserve">3.1 Design Phase (Digital Dentistry)</w:t>
      </w:r>
    </w:p>
    <w:p>
      <w:pPr>
        <w:pStyle w:val="FirstParagraph"/>
      </w:pPr>
      <w:r>
        <w:t xml:space="preserve">The design process commenced using the latest iteration of our proprietary CAD software, tailored specifically for the intricate anatomical structures found in adult dentition. For the maxillary crowns, we utilized a layered porcelain technique over a zirconia core to mimic the translucency and opalescence of natural enamel. This was chosen based on aesthetic preferences common in Melbourne's cosmetic dentistry sector, where patients often seek results that are indistinguishable from natural teeth under various lighting conditions. The bridge design for the mandibular region focused on structural integrity, utilizing a high-translucent zirconia monolithic material to withstand the significant occlusal forces generated during chewing and potential parafunctional habits.</w:t>
      </w:r>
    </w:p>
    <w:bookmarkEnd w:id="22"/>
    <w:bookmarkStart w:id="23" w:name="fabrication-protocols"/>
    <w:p>
      <w:pPr>
        <w:pStyle w:val="Heading3"/>
      </w:pPr>
      <w:r>
        <w:t xml:space="preserve">3.2 Fabrication Protocols</w:t>
      </w:r>
    </w:p>
    <w:p>
      <w:pPr>
        <w:pStyle w:val="FirstParagraph"/>
      </w:pPr>
      <w:r>
        <w:t xml:space="preserve">The milling process was conducted using multi-axis CNC machines equipped with diamond-tipped burs of varying grits to ensure smooth surface textures that resist plaque adherence. Each crown was individually sintered in a controlled atmosphere furnace to prevent micro-fractures and ensure optimal crystalline structure. The post-milling stage involved rigorous manual finishing by senior technicians who are trained in the specific aesthetic protocols required for Australian dental standards. This step is crucial because automated systems, while precise, cannot replicate the subtle characterizations (such as mamelons or fissure depths) that give a smile its unique identity.</w:t>
      </w:r>
    </w:p>
    <w:bookmarkEnd w:id="23"/>
    <w:bookmarkEnd w:id="24"/>
    <w:bookmarkStart w:id="25" w:name="quality-assurance-and-compliance"/>
    <w:p>
      <w:pPr>
        <w:pStyle w:val="Heading2"/>
      </w:pPr>
      <w:r>
        <w:t xml:space="preserve">4. Quality Assurance and Compliance</w:t>
      </w:r>
    </w:p>
    <w:p>
      <w:pPr>
        <w:pStyle w:val="FirstParagraph"/>
      </w:pPr>
      <w:r>
        <w:t xml:space="preserve">As a laboratory operating within Australia Melbourne, we are bound by strict regulatory frameworks established by the National Dental Practice Board of Australia and local health authorities in Victoria. Every unit produced undergoes a multi-point inspection process:</w:t>
      </w:r>
    </w:p>
    <w:p>
      <w:pPr>
        <w:numPr>
          <w:ilvl w:val="0"/>
          <w:numId w:val="1001"/>
        </w:numPr>
        <w:pStyle w:val="Compact"/>
      </w:pPr>
      <w:r>
        <w:rPr>
          <w:bCs/>
          <w:b/>
        </w:rPr>
        <w:t xml:space="preserve">Marginal Gap Analysis:</w:t>
      </w:r>
      <w:r>
        <w:t xml:space="preserve"> </w:t>
      </w:r>
      <w:r>
        <w:t xml:space="preserve">Using digital overlay software, we verified that the marginal gap for all restorations remains below 100 microns, exceeding the requirements set by Australian Dental Standards (ADS) No. 12 for fixed partial dentures.</w:t>
      </w:r>
    </w:p>
    <w:p>
      <w:pPr>
        <w:numPr>
          <w:ilvl w:val="0"/>
          <w:numId w:val="1001"/>
        </w:numPr>
        <w:pStyle w:val="Compact"/>
      </w:pPr>
      <w:r>
        <w:rPr>
          <w:bCs/>
          <w:b/>
        </w:rPr>
        <w:t xml:space="preserve">Occlusal Verification:</w:t>
      </w:r>
      <w:r>
        <w:t xml:space="preserve"> </w:t>
      </w:r>
      <w:r>
        <w:t xml:space="preserve">Static and dynamic occlusion was checked using articulating paper simulations in our virtual articulator to ensure no premature contacts that could lead to cement failure or tooth fracture.</w:t>
      </w:r>
    </w:p>
    <w:p>
      <w:pPr>
        <w:numPr>
          <w:ilvl w:val="0"/>
          <w:numId w:val="1001"/>
        </w:numPr>
        <w:pStyle w:val="Compact"/>
      </w:pPr>
      <w:r>
        <w:rPr>
          <w:bCs/>
          <w:b/>
        </w:rPr>
        <w:t xml:space="preserve">Aesthetic Shade Matching:</w:t>
      </w:r>
      <w:r>
        <w:t xml:space="preserve"> </w:t>
      </w:r>
      <w:r>
        <w:t xml:space="preserve">Color matching was performed using spectrophotometry against the patient's adjacent teeth, ensuring consistency across the arch. This is particularly important in Melbourne, where natural light varies significantly between seasons, requiring restorations that perform well in both winter’s overcast skies and summer’s bright sunshine.</w:t>
      </w:r>
    </w:p>
    <w:bookmarkEnd w:id="25"/>
    <w:bookmarkStart w:id="26" w:name="X432a9bfeca7092216047095f500c3b22982665f"/>
    <w:p>
      <w:pPr>
        <w:pStyle w:val="Heading2"/>
      </w:pPr>
      <w:r>
        <w:t xml:space="preserve">5. Special Considerations for the Australia Melbourne Context</w:t>
      </w:r>
    </w:p>
    <w:p>
      <w:pPr>
        <w:pStyle w:val="FirstParagraph"/>
      </w:pPr>
      <w:r>
        <w:t xml:space="preserve">The dental landscape in Australia Melbourne is unique due to its high proportion of immigrants and a culturally diverse patient base. Our laboratory has adapted our workflow to accommodate this diversity. For instance, communication with the local</w:t>
      </w:r>
      <w:r>
        <w:t xml:space="preserve"> </w:t>
      </w:r>
      <w:r>
        <w:rPr>
          <w:bCs/>
          <w:b/>
        </w:rPr>
        <w:t xml:space="preserve">Dentist</w:t>
      </w:r>
      <w:r>
        <w:t xml:space="preserve"> </w:t>
      </w:r>
      <w:r>
        <w:t xml:space="preserve">partners is streamlined through secure digital portals that allow for real-time image sharing and feedback, reducing turnaround times significantly. Furthermore, understanding the local climatic conditions is vital; while humidity in Melbourne can affect some traditional impression materials during transport to our lab, the use of digital scans eliminates this variable entirely, ensuring that what we see on screen is exactly what was captured intraorally.</w:t>
      </w:r>
      <w:r>
        <w:t xml:space="preserve"> </w:t>
      </w:r>
      <w:r>
        <w:t xml:space="preserve">Additionally, sustainability is a growing concern for clinics in Melbourne. Our laboratory has implemented eco-friendly waste management systems for ceramic dust and chemical solvents, aligning with the city’s broader environmental goals. We also offer biodegradable packaging options for the return shipment of restorations to dental surgeries across Victoria, demonstrating our commitment to responsible practice within the region.</w:t>
      </w:r>
    </w:p>
    <w:bookmarkEnd w:id="26"/>
    <w:bookmarkStart w:id="27" w:name="conclusion-and-recommendations"/>
    <w:p>
      <w:pPr>
        <w:pStyle w:val="Heading2"/>
      </w:pPr>
      <w:r>
        <w:t xml:space="preserve">6. Conclusion and Recommendations</w:t>
      </w:r>
    </w:p>
    <w:p>
      <w:pPr>
        <w:pStyle w:val="FirstParagraph"/>
      </w:pPr>
      <w:r>
        <w:t xml:space="preserve">The restorations detailed in this</w:t>
      </w:r>
      <w:r>
        <w:t xml:space="preserve"> </w:t>
      </w:r>
      <w:r>
        <w:rPr>
          <w:bCs/>
          <w:b/>
        </w:rPr>
        <w:t xml:space="preserve">Lab Report</w:t>
      </w:r>
      <w:r>
        <w:t xml:space="preserve"> </w:t>
      </w:r>
      <w:r>
        <w:t xml:space="preserve">have successfully cleared all quality control checkpoints and are ready for clinical delivery. The final products represent a harmonious blend of advanced technology, material science, and artistic craftsmanship, tailored specifically for the needs of patients in Australia Melbourne. We recommend that the attending</w:t>
      </w:r>
      <w:r>
        <w:t xml:space="preserve"> </w:t>
      </w:r>
      <w:r>
        <w:rPr>
          <w:bCs/>
          <w:b/>
        </w:rPr>
        <w:t xml:space="preserve">Dentist</w:t>
      </w:r>
      <w:r>
        <w:t xml:space="preserve"> </w:t>
      </w:r>
      <w:r>
        <w:t xml:space="preserve">perform a thorough try-in procedure using temporary cement to verify fit and aesthetics before final adhesive bonding. Particular attention should be paid to the occlusal adjustments during this stage, as slight deviations can occur despite our precise fabrication methods, ensuring long-term success of the restoration.</w:t>
      </w:r>
      <w:r>
        <w:t xml:space="preserve"> </w:t>
      </w:r>
      <w:r>
        <w:t xml:space="preserve">We trust that this report provides sufficient transparency regarding our laboratory processes and reaffirms our dedication to supporting dental professionals in Melbourne with high-quality, compliant, and aesthetically superior dental solutions.</w:t>
      </w:r>
    </w:p>
    <w:p>
      <w:pPr>
        <w:pStyle w:val="BodyText"/>
      </w:pPr>
      <w:r>
        <w:rPr>
          <w:iCs/>
          <w:i/>
        </w:rPr>
        <w:t xml:space="preserve">End of Laboratory Report.</w:t>
      </w:r>
    </w:p>
    <w:p>
      <w:pPr>
        <w:pStyle w:val="BodyText"/>
      </w:pPr>
      <w:r>
        <w:rPr>
          <w:bCs/>
          <w:b/>
        </w:rPr>
        <w:t xml:space="preserve">Laboratory Director Signature:</w:t>
      </w:r>
      <w:r>
        <w:br/>
      </w:r>
      <w:r>
        <w:t xml:space="preserve">Dr. A. Smith</w:t>
      </w:r>
      <w:r>
        <w:br/>
      </w:r>
      <w:r>
        <w:t xml:space="preserve">Chief Dental Technician</w:t>
      </w:r>
      <w:r>
        <w:br/>
      </w:r>
      <w:r>
        <w:t xml:space="preserve">Melbourne Central Dental Lab, VIC,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 Report: Comprehensive Analysis for Australia Melbourne</dc:title>
  <dc:creator/>
  <dc:language>en</dc:language>
  <cp:keywords/>
  <dcterms:created xsi:type="dcterms:W3CDTF">2026-07-30T05:28:37Z</dcterms:created>
  <dcterms:modified xsi:type="dcterms:W3CDTF">2026-07-30T05:28:37Z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