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Clinical</w:t>
      </w:r>
      <w:r>
        <w:t xml:space="preserve"> </w:t>
      </w:r>
      <w:r>
        <w:t xml:space="preserve">Lab</w:t>
      </w:r>
      <w:r>
        <w:t xml:space="preserve"> </w:t>
      </w:r>
      <w:r>
        <w:t xml:space="preserve">Report:</w:t>
      </w:r>
      <w:r>
        <w:t xml:space="preserve"> </w:t>
      </w:r>
      <w:r>
        <w:t xml:space="preserve">Iraq</w:t>
      </w:r>
      <w:r>
        <w:t xml:space="preserve"> </w:t>
      </w:r>
      <w:r>
        <w:t xml:space="preserve">Baghdad</w:t>
      </w:r>
    </w:p>
    <w:bookmarkStart w:id="20" w:name="Xd75c7f941ede81ccba3cd28ee8dd1a8a79acf83"/>
    <w:p>
      <w:pPr>
        <w:pStyle w:val="Heading1"/>
      </w:pPr>
      <w:r>
        <w:t xml:space="preserve">Clinical Laboratory and Diagnostic Report</w:t>
      </w:r>
    </w:p>
    <w:p>
      <w:pPr>
        <w:pStyle w:val="FirstParagraph"/>
      </w:pPr>
      <w:r>
        <w:t xml:space="preserve">Department of Stomatology &amp; Oral Health Sciences</w:t>
      </w:r>
    </w:p>
    <w:bookmarkEnd w:id="20"/>
    <w:p>
      <w:pPr>
        <w:pStyle w:val="BodyText"/>
      </w:pPr>
      <w:r>
        <w:rPr>
          <w:bCs/>
          <w:b/>
        </w:rPr>
        <w:t xml:space="preserve">Institution:</w:t>
      </w:r>
      <w:r>
        <w:t xml:space="preserve"> </w:t>
      </w:r>
      <w:r>
        <w:t xml:space="preserve">Ministry of Health, Baghdad Medical City Specialist Center</w:t>
      </w:r>
      <w:r>
        <w:br/>
      </w:r>
      <w:r>
        <w:rPr>
          <w:bCs/>
          <w:b/>
        </w:rPr>
        <w:t xml:space="preserve">Date of Examination:</w:t>
      </w:r>
      <w:r>
        <w:t xml:space="preserve"> </w:t>
      </w:r>
      <w:r>
        <w:t xml:space="preserve">October 24, 2023</w:t>
      </w:r>
      <w:r>
        <w:br/>
      </w:r>
      <w:r>
        <w:rPr>
          <w:bCs/>
          <w:b/>
        </w:rPr>
        <w:t xml:space="preserve">Patient ID:</w:t>
      </w:r>
      <w:r>
        <w:t xml:space="preserve"> </w:t>
      </w:r>
      <w:r>
        <w:t xml:space="preserve">BAG-9948-XO</w:t>
      </w:r>
      <w:r>
        <w:br/>
      </w:r>
      <w:r>
        <w:t xml:space="preserve">**Location:** Baghdad, Republic of Iraq</w:t>
      </w:r>
    </w:p>
    <w:bookmarkStart w:id="21" w:name="i.-executive-summary"/>
    <w:p>
      <w:pPr>
        <w:pStyle w:val="Heading1"/>
      </w:pPr>
      <w:r>
        <w:t xml:space="preserve">I. Executive Summary</w:t>
      </w:r>
    </w:p>
    <w:p>
      <w:pPr>
        <w:pStyle w:val="FirstParagraph"/>
      </w:pPr>
      <w:r>
        <w:t xml:space="preserve">This document serves as a comprehensive lab report and clinical evaluation summary for a dental patient situated in the capital city of</w:t>
      </w:r>
      <w:r>
        <w:t xml:space="preserve"> </w:t>
      </w:r>
      <w:r>
        <w:rPr>
          <w:bCs/>
          <w:b/>
        </w:rPr>
        <w:t xml:space="preserve">Iraq Baghdad</w:t>
      </w:r>
      <w:r>
        <w:t xml:space="preserve">. The objective of this assessment is to provide detailed diagnostic data regarding the oral cavity, specifically focusing on periodontal health, carious lesions, and prosthodontic requirements. Given the unique environmental factors present in</w:t>
      </w:r>
      <w:r>
        <w:t xml:space="preserve"> </w:t>
      </w:r>
      <w:r>
        <w:rPr>
          <w:bCs/>
          <w:b/>
        </w:rPr>
        <w:t xml:space="preserve">Iraq Baghdad</w:t>
      </w:r>
      <w:r>
        <w:t xml:space="preserve">, including water hardness levels and dietary habits common to the region (such as high consumption of sweet tea), this report emphasizes preventive strategies alongside restorative interventions. The following sections detail the methodology, clinical findings from laboratory analysis, and a proposed treatment plan tailored to local resources.</w:t>
      </w:r>
    </w:p>
    <w:bookmarkEnd w:id="21"/>
    <w:bookmarkStart w:id="22" w:name="X03521073f0ddf534f0791e1158028b7f3c18b03"/>
    <w:p>
      <w:pPr>
        <w:pStyle w:val="Heading1"/>
      </w:pPr>
      <w:r>
        <w:t xml:space="preserve">II. Patient History and Environmental Context</w:t>
      </w:r>
    </w:p>
    <w:p>
      <w:pPr>
        <w:pStyle w:val="FirstParagraph"/>
      </w:pPr>
      <w:r>
        <w:t xml:space="preserve">The patient is a 45-year-old resident of the Karrada district in</w:t>
      </w:r>
      <w:r>
        <w:t xml:space="preserve"> </w:t>
      </w:r>
      <w:r>
        <w:rPr>
          <w:bCs/>
          <w:b/>
        </w:rPr>
        <w:t xml:space="preserve">Iraq Baghdad</w:t>
      </w:r>
      <w:r>
        <w:t xml:space="preserve">. The history indicates routine dental neglect over the past five years due to socioeconomic fluctuations affecting healthcare accessibility in post-conflict recovery zones within</w:t>
      </w:r>
      <w:r>
        <w:t xml:space="preserve"> </w:t>
      </w:r>
      <w:r>
        <w:rPr>
          <w:bCs/>
          <w:b/>
        </w:rPr>
        <w:t xml:space="preserve">Iraq Baghdad</w:t>
      </w:r>
      <w:r>
        <w:t xml:space="preserve">. The patient reports occasional sensitivity to thermal stimuli and mild bleeding upon brushing. It is crucial to note that the water supply in parts of</w:t>
      </w:r>
      <w:r>
        <w:t xml:space="preserve"> </w:t>
      </w:r>
      <w:r>
        <w:rPr>
          <w:bCs/>
          <w:b/>
        </w:rPr>
        <w:t xml:space="preserve">Iraq Baghdad</w:t>
      </w:r>
      <w:r>
        <w:t xml:space="preserve"> </w:t>
      </w:r>
      <w:r>
        <w:t xml:space="preserve">varies significantly in mineral content, which can influence enamel integrity and calculus formation rates. This environmental factor has been factored into the current lab report analysis.</w:t>
      </w:r>
    </w:p>
    <w:bookmarkEnd w:id="22"/>
    <w:bookmarkStart w:id="23" w:name="Xf8093632202122e160cbae45e66b78071a21cae"/>
    <w:p>
      <w:pPr>
        <w:pStyle w:val="Heading1"/>
      </w:pPr>
      <w:r>
        <w:t xml:space="preserve">III. Clinical Laboratory Methods and Procedures</w:t>
      </w:r>
    </w:p>
    <w:p>
      <w:pPr>
        <w:pStyle w:val="FirstParagraph"/>
      </w:pPr>
      <w:r>
        <w:t xml:space="preserve">The diagnostic process utilized a combination of radiographic imaging, visual inspection using WHO criteria, and microbiological sampling where indicated.</w:t>
      </w:r>
    </w:p>
    <w:p>
      <w:pPr>
        <w:numPr>
          <w:ilvl w:val="0"/>
          <w:numId w:val="1001"/>
        </w:numPr>
        <w:pStyle w:val="Compact"/>
      </w:pPr>
      <w:r>
        <w:rPr>
          <w:bCs/>
          <w:b/>
        </w:rPr>
        <w:t xml:space="preserve">Radiographic Assessment:</w:t>
      </w:r>
      <w:r>
        <w:t xml:space="preserve"> </w:t>
      </w:r>
      <w:r>
        <w:t xml:space="preserve">Bitewing and periapical radiographs were taken to assess interproximal bone levels. Digital sensors were used to minimize radiation exposure.</w:t>
      </w:r>
    </w:p>
    <w:p>
      <w:pPr>
        <w:numPr>
          <w:ilvl w:val="0"/>
          <w:numId w:val="1001"/>
        </w:numPr>
        <w:pStyle w:val="Compact"/>
      </w:pPr>
      <w:r>
        <w:rPr>
          <w:bCs/>
          <w:b/>
        </w:rPr>
        <w:t xml:space="preserve">Microbiological Culture:</w:t>
      </w:r>
      <w:r>
        <w:t xml:space="preserve"> </w:t>
      </w:r>
      <w:r>
        <w:t xml:space="preserve">A plaque sample was collected from the mandibular anterior region for bacterial analysis, specifically targeting *Streptococcus mutans* and *Lactobacillus* species, which are prevalent in populations with high carbohydrate intake common in local Iraqi diets.</w:t>
      </w:r>
    </w:p>
    <w:p>
      <w:pPr>
        <w:numPr>
          <w:ilvl w:val="0"/>
          <w:numId w:val="1001"/>
        </w:numPr>
        <w:pStyle w:val="Compact"/>
      </w:pPr>
      <w:r>
        <w:rPr>
          <w:bCs/>
          <w:b/>
        </w:rPr>
        <w:t xml:space="preserve">Gingival Index (GI) Testing:</w:t>
      </w:r>
      <w:r>
        <w:t xml:space="preserve"> </w:t>
      </w:r>
      <w:r>
        <w:t xml:space="preserve">The Gingival Index was calculated to determine the severity of inflammation. This is a standard metric for any dental lab report but is particularly relevant here due to potential delays in treatment seeking behavior observed in some communities within</w:t>
      </w:r>
      <w:r>
        <w:t xml:space="preserve"> </w:t>
      </w:r>
      <w:r>
        <w:rPr>
          <w:bCs/>
          <w:b/>
        </w:rPr>
        <w:t xml:space="preserve">Iraq Baghdad</w:t>
      </w:r>
      <w:r>
        <w:t xml:space="preserve">.</w:t>
      </w:r>
    </w:p>
    <w:bookmarkEnd w:id="23"/>
    <w:bookmarkStart w:id="24" w:name="X0b40593f5f85dbf6106426adc5665c4bfd3f666"/>
    <w:p>
      <w:pPr>
        <w:pStyle w:val="Heading1"/>
      </w:pPr>
      <w:r>
        <w:t xml:space="preserve">IV. Laboratory Findings and Data Analysis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Clinical Parameter</w:t>
            </w:r>
          </w:p>
        </w:tc>
        <w:tc>
          <w:tcPr/>
          <w:p>
            <w:pPr>
              <w:pStyle w:val="Compact"/>
              <w:jc w:val="left"/>
            </w:pPr>
            <w:r>
              <w:t xml:space="preserve">Finding Description</w:t>
            </w:r>
          </w:p>
        </w:tc>
        <w:tc>
          <w:tcPr/>
          <w:p>
            <w:pPr>
              <w:pStyle w:val="Compact"/>
              <w:jc w:val="left"/>
            </w:pPr>
            <w:r>
              <w:t xml:space="preserve">Iraq Baghdad Contextual Factor</w:t>
            </w:r>
          </w:p>
        </w:tc>
      </w:tr>
      <w:tr>
        <w:tc>
          <w:tcPr/>
          <w:p>
            <w:pPr>
              <w:pStyle w:val="Compact"/>
              <w:jc w:val="left"/>
            </w:pPr>
            <w:r>
              <w:rPr>
                <w:bCs/>
                <w:b/>
              </w:rPr>
              <w:t xml:space="preserve">Gingival Health (GI)</w:t>
            </w:r>
          </w:p>
        </w:tc>
        <w:tc>
          <w:tcPr/>
          <w:p>
            <w:pPr>
              <w:pStyle w:val="Compact"/>
              <w:jc w:val="left"/>
            </w:pPr>
            <w:r>
              <w:t xml:space="preserve">Scores of 2-3 on the sulcus of teeth #16, 17, and 38. Significant plaque accumulation observed.</w:t>
            </w:r>
          </w:p>
        </w:tc>
        <w:tc>
          <w:tcPr/>
          <w:p>
            <w:pPr>
              <w:pStyle w:val="Compact"/>
              <w:jc w:val="left"/>
            </w:pPr>
            <w:r>
              <w:t xml:space="preserve">High levels of dietary sugar consumption in the region correlate with higher GI scores. Preventive education is vital for residents in</w:t>
            </w:r>
            <w:r>
              <w:t xml:space="preserve"> </w:t>
            </w:r>
            <w:r>
              <w:rPr>
                <w:bCs/>
                <w:b/>
              </w:rPr>
              <w:t xml:space="preserve">Iraq Baghdad</w:t>
            </w:r>
            <w:r>
              <w:t xml:space="preserve">.</w:t>
            </w:r>
          </w:p>
        </w:tc>
      </w:tr>
      <w:tr>
        <w:tc>
          <w:tcPr/>
          <w:p>
            <w:pPr>
              <w:pStyle w:val="Compact"/>
              <w:jc w:val="left"/>
            </w:pPr>
            <w:r>
              <w:rPr>
                <w:bCs/>
                <w:b/>
              </w:rPr>
              <w:t xml:space="preserve">Caries Detection (DMFT Index)</w:t>
            </w:r>
          </w:p>
        </w:tc>
        <w:tc>
          <w:tcPr/>
          <w:p>
            <w:pPr>
              <w:pStyle w:val="Compact"/>
              <w:jc w:val="left"/>
            </w:pPr>
            <w:r>
              <w:t xml:space="preserve">Filled: 6, Missing: 1 (Tooth #32), Decayed: 3. The decayed teeth show moderate to deep dentinal involvement.</w:t>
            </w:r>
          </w:p>
        </w:tc>
        <w:tc>
          <w:tcPr/>
          <w:p>
            <w:pPr>
              <w:pStyle w:val="Compact"/>
              <w:jc w:val="left"/>
            </w:pPr>
            <w:r>
              <w:t xml:space="preserve">The DMFT index in this demographic often reflects late-stage intervention. Early detection programs in major hospitals of</w:t>
            </w:r>
            <w:r>
              <w:t xml:space="preserve"> </w:t>
            </w:r>
            <w:r>
              <w:rPr>
                <w:bCs/>
                <w:b/>
              </w:rPr>
              <w:t xml:space="preserve">Iraq Baghdad</w:t>
            </w:r>
            <w:r>
              <w:t xml:space="preserve"> </w:t>
            </w:r>
            <w:r>
              <w:t xml:space="preserve">aim to reduce these numbers.</w:t>
            </w:r>
          </w:p>
        </w:tc>
      </w:tr>
      <w:tr>
        <w:tc>
          <w:tcPr/>
          <w:p>
            <w:pPr>
              <w:pStyle w:val="Compact"/>
              <w:jc w:val="left"/>
            </w:pPr>
            <w:r>
              <w:rPr>
                <w:bCs/>
                <w:b/>
              </w:rPr>
              <w:t xml:space="preserve">Bacterial Load</w:t>
            </w:r>
          </w:p>
        </w:tc>
        <w:tc>
          <w:tcPr/>
          <w:p>
            <w:pPr>
              <w:pStyle w:val="Compact"/>
              <w:jc w:val="left"/>
            </w:pPr>
            <w:r>
              <w:t xml:space="preserve">Elevated levels of *S. mutans* detected (approx. 10^5 CFU/ml).</w:t>
            </w:r>
          </w:p>
        </w:tc>
        <w:tc>
          <w:tcPr/>
          <w:p>
            <w:pPr>
              <w:pStyle w:val="Compact"/>
              <w:jc w:val="left"/>
            </w:pPr>
            <w:r>
              <w:t xml:space="preserve">This bacterial load is consistent with the high frequency of tea consumption, a cultural staple in daily life across Baghdad.</w:t>
            </w:r>
          </w:p>
        </w:tc>
      </w:tr>
      <w:tr>
        <w:tc>
          <w:tcPr/>
          <w:p>
            <w:pPr>
              <w:pStyle w:val="Compact"/>
              <w:jc w:val="left"/>
            </w:pPr>
            <w:r>
              <w:rPr>
                <w:bCs/>
                <w:b/>
              </w:rPr>
              <w:t xml:space="preserve">Radiographic Bone Level</w:t>
            </w:r>
          </w:p>
        </w:tc>
        <w:tc>
          <w:tcPr/>
          <w:p>
            <w:pPr>
              <w:pStyle w:val="Compact"/>
              <w:jc w:val="left"/>
            </w:pPr>
            <w:r>
              <w:t xml:space="preserve">Moderate horizontal bone loss around teeth #16 and 26 (approx. 30% of root length).</w:t>
            </w:r>
          </w:p>
        </w:tc>
        <w:tc>
          <w:tcPr/>
          <w:p>
            <w:pPr>
              <w:pStyle w:val="Compact"/>
              <w:jc w:val="left"/>
            </w:pPr>
            <w:r>
              <w:t xml:space="preserve">Periodontal disease prevalence in adults in urban centers like Baghdad is rising due to lifestyle changes.</w:t>
            </w:r>
          </w:p>
        </w:tc>
      </w:tr>
    </w:tbl>
    <w:bookmarkEnd w:id="24"/>
    <w:bookmarkStart w:id="25" w:name="X56b4364987d3efea36de70d8cc31ad4ab028c6a"/>
    <w:p>
      <w:pPr>
        <w:pStyle w:val="Heading1"/>
      </w:pPr>
      <w:r>
        <w:t xml:space="preserve">V. Discussion: The Role of the Dentist in Baghdad</w:t>
      </w:r>
    </w:p>
    <w:p>
      <w:pPr>
        <w:pStyle w:val="FirstParagraph"/>
      </w:pPr>
      <w:r>
        <w:t xml:space="preserve">The role of a **Dentist** extends beyond simple restoration; it encompasses public health advocacy and environmental adaptation. In the context of</w:t>
      </w:r>
      <w:r>
        <w:t xml:space="preserve"> </w:t>
      </w:r>
      <w:r>
        <w:rPr>
          <w:bCs/>
          <w:b/>
        </w:rPr>
        <w:t xml:space="preserve">Iraq Baghdad</w:t>
      </w:r>
      <w:r>
        <w:t xml:space="preserve">, the dentist must address specific challenges. For instance, access to advanced endodontic equipment has improved significantly in recent years, yet rural areas surrounding Baghdad still face shortages. This report highlights that while clinical outcomes in central Baghdad are comparable to international standards, continuity of care remains a hurdle.</w:t>
      </w:r>
    </w:p>
    <w:p>
      <w:pPr>
        <w:pStyle w:val="BodyText"/>
      </w:pPr>
      <w:r>
        <w:t xml:space="preserve">Furthermore, the psychological aspect of dental care cannot be ignored. The trauma associated with previous years of instability has led to a phobia regarding dental visits among some demographics in</w:t>
      </w:r>
      <w:r>
        <w:t xml:space="preserve"> </w:t>
      </w:r>
      <w:r>
        <w:rPr>
          <w:bCs/>
          <w:b/>
        </w:rPr>
        <w:t xml:space="preserve">Iraq Baghdad</w:t>
      </w:r>
      <w:r>
        <w:t xml:space="preserve">. Therefore, the dentist must adopt a patient-centered approach that prioritizes painless techniques and clear communication in Arabic dialects understood locally.</w:t>
      </w:r>
    </w:p>
    <w:bookmarkEnd w:id="25"/>
    <w:bookmarkStart w:id="26" w:name="vi.-recommendations-and-treatment-plan"/>
    <w:p>
      <w:pPr>
        <w:pStyle w:val="Heading1"/>
      </w:pPr>
      <w:r>
        <w:t xml:space="preserve">VI. Recommendations and Treatment Plan</w:t>
      </w:r>
    </w:p>
    <w:p>
      <w:pPr>
        <w:pStyle w:val="FirstParagraph"/>
      </w:pPr>
      <w:r>
        <w:t xml:space="preserve">Based on the laboratory findings, the following treatment plan is recommended for immediate execution by any qualified **Dentist** operating within or referring to facilities in</w:t>
      </w:r>
      <w:r>
        <w:t xml:space="preserve"> </w:t>
      </w:r>
      <w:r>
        <w:rPr>
          <w:bCs/>
          <w:b/>
        </w:rPr>
        <w:t xml:space="preserve">Iraq Baghdad</w:t>
      </w:r>
      <w:r>
        <w:t xml:space="preserve">:</w:t>
      </w:r>
    </w:p>
    <w:p>
      <w:pPr>
        <w:numPr>
          <w:ilvl w:val="0"/>
          <w:numId w:val="1002"/>
        </w:numPr>
        <w:pStyle w:val="Compact"/>
      </w:pPr>
      <w:r>
        <w:rPr>
          <w:bCs/>
          <w:b/>
        </w:rPr>
        <w:t xml:space="preserve">Hgiene Instruction:</w:t>
      </w:r>
      <w:r>
        <w:t xml:space="preserve"> </w:t>
      </w:r>
      <w:r>
        <w:t xml:space="preserve">Provide specific oral hygiene instructions focusing on flossing, as the current plaque index indicates inadequate interproximal cleaning. Emphasis should be placed on reducing the frequency of sugary tea intake between meals.</w:t>
      </w:r>
    </w:p>
    <w:p>
      <w:pPr>
        <w:numPr>
          <w:ilvl w:val="0"/>
          <w:numId w:val="1002"/>
        </w:numPr>
        <w:pStyle w:val="Compact"/>
      </w:pPr>
      <w:r>
        <w:rPr>
          <w:bCs/>
          <w:b/>
        </w:rPr>
        <w:t xml:space="preserve">Nonsurgical Periodontal Therapy:</w:t>
      </w:r>
      <w:r>
        <w:t xml:space="preserve"> </w:t>
      </w:r>
      <w:r>
        <w:t xml:space="preserve">Scaling and root planing for teeth #16, 17, and 38 to reduce the gingival index scores. This is critical to prevent further bone loss in an environment where maintenance visits might be irregular.</w:t>
      </w:r>
    </w:p>
    <w:p>
      <w:pPr>
        <w:numPr>
          <w:ilvl w:val="0"/>
          <w:numId w:val="1002"/>
        </w:numPr>
        <w:pStyle w:val="Compact"/>
      </w:pPr>
      <w:r>
        <w:rPr>
          <w:bCs/>
          <w:b/>
        </w:rPr>
        <w:t xml:space="preserve">Restorative Care:</w:t>
      </w:r>
      <w:r>
        <w:t xml:space="preserve"> </w:t>
      </w:r>
      <w:r>
        <w:t xml:space="preserve">Composite resin restorations for the three decayed teeth identified. Given the humidity in Baghdad, moisture control techniques (such as rubber dam isolation) are essential to ensure long-term success of adhesive procedures.</w:t>
      </w:r>
    </w:p>
    <w:p>
      <w:pPr>
        <w:numPr>
          <w:ilvl w:val="0"/>
          <w:numId w:val="1002"/>
        </w:numPr>
        <w:pStyle w:val="Compact"/>
      </w:pPr>
      <w:r>
        <w:rPr>
          <w:bCs/>
          <w:b/>
        </w:rPr>
        <w:t xml:space="preserve">Digital Dentistry Integration:</w:t>
      </w:r>
      <w:r>
        <w:t xml:space="preserve"> </w:t>
      </w:r>
      <w:r>
        <w:t xml:space="preserve">If available, utilize CAD/CAM technology for crowns where necessary. This reduces chair time and improves accuracy, which is beneficial for patients with busy schedules in a bustling city like Baghdad.</w:t>
      </w:r>
    </w:p>
    <w:bookmarkEnd w:id="26"/>
    <w:bookmarkStart w:id="27" w:name="vii.-conclusion"/>
    <w:p>
      <w:pPr>
        <w:pStyle w:val="Heading1"/>
      </w:pPr>
      <w:r>
        <w:t xml:space="preserve">VII. Conclusion</w:t>
      </w:r>
    </w:p>
    <w:p>
      <w:pPr>
        <w:pStyle w:val="FirstParagraph"/>
      </w:pPr>
      <w:r>
        <w:t xml:space="preserve">This lab report confirms that the patient presents with moderate periodontal disease and active dental caries. However, these conditions are manageable and preventable with proper intervention. The integration of advanced diagnostic tools in local **Dentist** offices is crucial for the continued improvement of oral health statistics in **Iraq Baghdad**. By addressing both the biological factors (bacterial load, decay) and environmental factors (water quality, diet), healthcare providers can significantly enhance the quality of life for patients in this region. Continued collaboration between local Iraqi dental institutions and international bodies will further elevate standards of care, ensuring that every citizen in Baghdad has access to high-quality oral health services.</w:t>
      </w:r>
    </w:p>
    <w:p>
      <w:pPr>
        <w:pStyle w:val="BodyText"/>
      </w:pPr>
      <w:r>
        <w:rPr>
          <w:bCs/>
          <w:b/>
        </w:rPr>
        <w:t xml:space="preserve">Authorized Signature:</w:t>
      </w:r>
      <w:r>
        <w:br/>
      </w:r>
      <w:r>
        <w:t xml:space="preserve">Dr. Ahmed Al-Jubouri</w:t>
      </w:r>
      <w:r>
        <w:br/>
      </w:r>
      <w:r>
        <w:t xml:space="preserve">Senior Consultant, Department of Prosthodontics and Laboratory Analysis</w:t>
      </w:r>
      <w:r>
        <w:br/>
      </w:r>
      <w:r>
        <w:t xml:space="preserve">Baghdad Medical City, Iraq Baghdad</w:t>
      </w:r>
      <w:r>
        <w:br/>
      </w: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Clinical Lab Report: Iraq Baghdad</dc:title>
  <dc:creator/>
  <dc:language>en</dc:language>
  <cp:keywords/>
  <dcterms:created xsi:type="dcterms:W3CDTF">2026-07-29T17:58:03Z</dcterms:created>
  <dcterms:modified xsi:type="dcterms:W3CDTF">2026-07-29T17:58:03Z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