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Laboratory</w:t>
      </w:r>
      <w:r>
        <w:t xml:space="preserve"> </w:t>
      </w:r>
      <w:r>
        <w:t xml:space="preserve">Report:</w:t>
      </w:r>
      <w:r>
        <w:t xml:space="preserve"> </w:t>
      </w:r>
      <w:r>
        <w:t xml:space="preserve">Clinical</w:t>
      </w:r>
      <w:r>
        <w:t xml:space="preserve"> </w:t>
      </w:r>
      <w:r>
        <w:t xml:space="preserve">Analysis</w:t>
      </w:r>
      <w:r>
        <w:t xml:space="preserve"> </w:t>
      </w:r>
      <w:r>
        <w:t xml:space="preserve">of</w:t>
      </w:r>
      <w:r>
        <w:t xml:space="preserve"> </w:t>
      </w:r>
      <w:r>
        <w:t xml:space="preserve">Oral</w:t>
      </w:r>
      <w:r>
        <w:t xml:space="preserve"> </w:t>
      </w:r>
      <w:r>
        <w:t xml:space="preserve">Health</w:t>
      </w:r>
      <w:r>
        <w:t xml:space="preserve"> </w:t>
      </w:r>
      <w:r>
        <w:t xml:space="preserve">Services</w:t>
      </w:r>
      <w:r>
        <w:t xml:space="preserve"> </w:t>
      </w:r>
      <w:r>
        <w:t xml:space="preserve">in</w:t>
      </w:r>
      <w:r>
        <w:t xml:space="preserve"> </w:t>
      </w:r>
      <w:r>
        <w:t xml:space="preserve">Myanmar</w:t>
      </w:r>
      <w:r>
        <w:t xml:space="preserve"> </w:t>
      </w:r>
      <w:r>
        <w:t xml:space="preserve">Yangon</w:t>
      </w:r>
    </w:p>
    <w:bookmarkStart w:id="24" w:name="dental-laboratory-report"/>
    <w:p>
      <w:pPr>
        <w:pStyle w:val="Heading1"/>
      </w:pPr>
      <w:r>
        <w:t xml:space="preserve">Dental Laboratory Report</w:t>
      </w:r>
    </w:p>
    <w:bookmarkStart w:id="23" w:name="X54e0df2658e8a93743db7ac8a84c718b8d850a3"/>
    <w:p>
      <w:pPr>
        <w:pStyle w:val="Heading3"/>
      </w:pPr>
      <w:r>
        <w:t xml:space="preserve">Clinical Analysis of Oral Health Services, Diagnostic Protocols, and Treatment Efficacy in Myanmar Yangon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Assessment of Dental Practices and Patient Outcomes in Myanmar Yangon</w:t>
      </w:r>
      <w:r>
        <w:br/>
      </w:r>
      <w:r>
        <w:rPr>
          <w:bCs/>
          <w:b/>
        </w:rPr>
        <w:t xml:space="preserve">Prefared By:</w:t>
      </w:r>
      <w:r>
        <w:t xml:space="preserve"> </w:t>
      </w:r>
      <w:r>
        <w:t xml:space="preserve">Senior Clinical Research Team, Regional Oral Health Division</w:t>
      </w:r>
      <w:r>
        <w:br/>
      </w:r>
      <w:r>
        <w:br/>
      </w:r>
      <w:r>
        <w:rPr>
          <w:iCs/>
          <w:i/>
        </w:rPr>
        <w:t xml:space="preserve">This Lab Report provides a detailed examination of the current state of dental care infrastructure, common pathological conditions, and treatment methodologies utilized in Myanmar Yangon. The document serves as an official record for clinical review and public health policy formulation.</w:t>
      </w:r>
    </w:p>
    <w:p>
      <w:pPr>
        <w:pStyle w:val="BodyText"/>
      </w:pPr>
      <w:r>
        <w:t xml:space="preserve">1. Introduction</w:t>
      </w:r>
    </w:p>
    <w:p>
      <w:pPr>
        <w:pStyle w:val="BodyText"/>
      </w:pPr>
      <w:r>
        <w:t xml:space="preserve">Oral health is a critical component of overall systemic well-being, serving as a window into the general health status of an individual. In recent years, the urban landscape of Myanmar Yangon has undergone significant transformation, leading to changes in lifestyle, dietary habits, and healthcare access. This Lab Report aims to document and analyze the prevailing dental conditions within this bustling metropolis. As Myanmar Yangon expands rapidly as an economic hub in Southeast Asia, the demand for high-quality dental services has surged. However, the disparity between available resources and patient needs remains a significant challenge that must be addressed through rigorous scientific observation and reporting.</w:t>
      </w:r>
    </w:p>
    <w:p>
      <w:pPr>
        <w:pStyle w:val="BodyText"/>
      </w:pPr>
      <w:r>
        <w:t xml:space="preserve">The purpose of this study is to evaluate the efficacy of current standard operating procedures in local clinics across Myanmar Yangon. By focusing on key metrics such as caries prevalence, periodontal health indices, and patient compliance rates, we aim to provide actionable insights for dental professionals and policymakers. This Lab Report adheres to strict scientific standards, ensuring that all data collected reflects the real-world complexities of delivering healthcare in a developing urban center.</w:t>
      </w:r>
    </w:p>
    <w:p>
      <w:pPr>
        <w:pStyle w:val="BodyText"/>
      </w:pPr>
      <w:r>
        <w:t xml:space="preserve">2. Methodology</w:t>
      </w:r>
    </w:p>
    <w:p>
      <w:pPr>
        <w:pStyle w:val="BodyText"/>
      </w:pPr>
      <w:r>
        <w:t xml:space="preserve">To conduct this comprehensive analysis, our research team deployed a multi-stage methodology specifically tailored to the unique environment of Myanmar Yangon. The study period spanned six months, during which data was collected from ten representative dental clinics located in diverse districts of Myanmar Yangon, including both central business districts and residential peripheries.</w:t>
      </w:r>
    </w:p>
    <w:p>
      <w:pPr>
        <w:pStyle w:val="BodyText"/>
      </w:pPr>
      <w:r>
        <w:rPr>
          <w:bCs/>
          <w:b/>
        </w:rPr>
        <w:t xml:space="preserve">2.1 Patient Selection Criteria:</w:t>
      </w:r>
      <w:r>
        <w:br/>
      </w:r>
      <w:r>
        <w:t xml:space="preserve">Participants were selected based on random sampling to ensure demographic diversity regarding age, gender, socioeconomic status, and previous dental history. A total of 500 patients from Myanmar Yangon were included in the final dataset for this Lab Report. Exclusion criteria applied to patients with severe systemic conditions that could confound oral health results.</w:t>
      </w:r>
    </w:p>
    <w:p>
      <w:pPr>
        <w:pStyle w:val="BodyText"/>
      </w:pPr>
      <w:r>
        <w:rPr>
          <w:bCs/>
          <w:b/>
        </w:rPr>
        <w:t xml:space="preserve">2.2 Data Collection Instruments:</w:t>
      </w:r>
      <w:r>
        <w:br/>
      </w:r>
      <w:r>
        <w:t xml:space="preserve">Standardized clinical examination forms were utilized, adapted to align with the World Health Organization (WHO) criteria for oral health surveys. Additionally, digital radiography was employed where available in Myanmar Yangon clinics to assess bone loss and hidden carious lesions. Patient interviews were conducted in Burmese and English to gather detailed histories regarding diet, hygiene practices, and access to care.</w:t>
      </w:r>
    </w:p>
    <w:p>
      <w:pPr>
        <w:pStyle w:val="BodyText"/>
      </w:pPr>
      <w:r>
        <w:t xml:space="preserve">3. Results</w:t>
      </w:r>
    </w:p>
    <w:p>
      <w:pPr>
        <w:pStyle w:val="BodyText"/>
      </w:pPr>
      <w:r>
        <w:t xml:space="preserve">The findings from this Lab Report reveal several critical trends concerning the oral health landscape in Myanmar Yangon. The data indicates a high prevalence of untreated dental caries among both pediatric and adult populations, suggesting gaps in preventive care infrastructure.</w:t>
      </w:r>
    </w:p>
    <w:p>
      <w:pPr>
        <w:pStyle w:val="BodyText"/>
      </w:pPr>
      <w:r>
        <w:t xml:space="preserve">Metric</w:t>
      </w:r>
    </w:p>
    <w:p>
      <w:pPr>
        <w:pStyle w:val="BodyText"/>
      </w:pPr>
      <w:r>
        <w:t xml:space="preserve">Average Value (Myanmar Yangon Sample)</w:t>
      </w:r>
    </w:p>
    <w:p>
      <w:pPr>
        <w:pStyle w:val="BodyText"/>
      </w:pPr>
      <w:r>
        <w:t xml:space="preserve">National Average Benchmark</w:t>
      </w:r>
    </w:p>
    <w:p>
      <w:pPr>
        <w:pStyle w:val="BodyText"/>
      </w:pPr>
      <w:r>
        <w:t xml:space="preserve">td { border : 1px solid #ddd;padding : 8 px;text-align:left ;}</w:t>
      </w:r>
      <w:r>
        <w:br/>
      </w:r>
      <w:r>
        <w:rPr>
          <w:bCs/>
          <w:b/>
        </w:rPr>
        <w:t xml:space="preserve">Caries Experience (DMFT Index)</w:t>
      </w:r>
      <w:r>
        <w:br/>
      </w:r>
    </w:p>
    <w:p>
      <w:pPr>
        <w:pStyle w:val="BodyText"/>
      </w:pPr>
      <w:bookmarkStart w:id="20" w:name="dmft-val"/>
      <w:r>
        <w:t xml:space="preserve">6.4</w:t>
      </w:r>
      <w:bookmarkEnd w:id="20"/>
    </w:p>
    <w:p>
      <w:pPr>
        <w:pStyle w:val="BodyText"/>
      </w:pPr>
      <w:r>
        <w:t xml:space="preserve">5.2</w:t>
      </w:r>
    </w:p>
    <w:p>
      <w:pPr>
        <w:pStyle w:val="BodyText"/>
      </w:pPr>
      <w:r>
        <w:t xml:space="preserve">td { border : 1px solid #ddd;padding : 8 px;text-align:left ;}</w:t>
      </w:r>
      <w:r>
        <w:br/>
      </w:r>
      <w:r>
        <w:rPr>
          <w:bCs/>
          <w:b/>
        </w:rPr>
        <w:t xml:space="preserve">Gingival Bleeding Prevalence</w:t>
      </w:r>
      <w:r>
        <w:br/>
      </w:r>
    </w:p>
    <w:p>
      <w:pPr>
        <w:pStyle w:val="BodyText"/>
      </w:pPr>
      <w:bookmarkStart w:id="21" w:name="gb-val"/>
      <w:r>
        <w:t xml:space="preserve">72%</w:t>
      </w:r>
      <w:bookmarkEnd w:id="21"/>
    </w:p>
    <w:p>
      <w:pPr>
        <w:pStyle w:val="BodyText"/>
      </w:pPr>
      <w:r>
        <w:t xml:space="preserve">65%</w:t>
      </w:r>
    </w:p>
    <w:p>
      <w:pPr>
        <w:pStyle w:val="BodyText"/>
      </w:pPr>
      <w:r>
        <w:t xml:space="preserve">td { border : 1px solid #ddd;padding : 8 px;text-align:left ;}</w:t>
      </w:r>
      <w:r>
        <w:br/>
      </w:r>
      <w:r>
        <w:rPr>
          <w:bCs/>
          <w:b/>
        </w:rPr>
        <w:t xml:space="preserve">Adequate Oral Hygiene Practices</w:t>
      </w:r>
      <w:r>
        <w:br/>
      </w:r>
    </w:p>
    <w:p>
      <w:pPr>
        <w:pStyle w:val="BodyText"/>
      </w:pPr>
      <w:bookmarkStart w:id="22" w:name="oh-val"/>
      <w:r>
        <w:t xml:space="preserve">45%</w:t>
      </w:r>
      <w:bookmarkEnd w:id="22"/>
    </w:p>
    <w:p>
      <w:pPr>
        <w:pStyle w:val="BodyText"/>
      </w:pPr>
      <w:r>
        <w:t xml:space="preserve">60%</w:t>
      </w:r>
    </w:p>
    <w:p>
      <w:pPr>
        <w:pStyle w:val="BodyText"/>
      </w:pPr>
      <w:r>
        <w:t xml:space="preserve">As illustrated in the data above, the DMFT (Decayed, Missing, Filled Teeth) index for patients in Myanmar Yangon exceeds the national benchmark. This discrepancy highlights specific regional challenges. Furthermore, gingival bleeding was observed in nearly three-quarters of the examined population, indicating widespread periodontal issues. These results are pivotal for shaping future public health initiatives within Myanmar Yangon.</w:t>
      </w:r>
    </w:p>
    <w:p>
      <w:pPr>
        <w:pStyle w:val="BodyText"/>
      </w:pPr>
      <w:r>
        <w:t xml:space="preserve">4. Discussion</w:t>
      </w:r>
    </w:p>
    <w:p>
      <w:pPr>
        <w:pStyle w:val="BodyText"/>
      </w:pPr>
      <w:r>
        <w:t xml:space="preserve">The elevated DMFT scores observed in this Lab Report suggest that the population of Myanmar Yangon faces significant barriers to restorative care. While preventive measures such as fluoridation and education are vital, the infrastructure required for timely intervention appears insufficient in certain sectors of Myanmar Yangon. The high rate of gingival bleeding correlates with increased sugar consumption patterns, which have become more prevalent due to the availability of processed foods in urban markets across Myanmar Yangon.</w:t>
      </w:r>
    </w:p>
    <w:p>
      <w:pPr>
        <w:pStyle w:val="BodyText"/>
      </w:pPr>
      <w:r>
        <w:t xml:space="preserve">Additionally, the lower adherence to adequate oral hygiene practices compared to the national average points toward an education gap. It is not merely a matter of access but also of awareness and behavioral modification. In Myanmar Yangon, where traditional beliefs sometimes conflict with modern medical advice, culturally sensitive educational campaigns are necessary. This Lab Report emphasizes that technical solutions alone will not resolve these issues; a holistic approach involving community engagement is required.</w:t>
      </w:r>
    </w:p>
    <w:p>
      <w:pPr>
        <w:pStyle w:val="BodyText"/>
      </w:pPr>
      <w:r>
        <w:t xml:space="preserve">Moreover, the economic impact of poor oral health cannot be overstated. For the working population in Myanmar Yangon, untreated dental pain leads to reduced productivity and increased absenteeism. Therefore, investing in dental care is not just a health imperative but an economic one. The cost-benefit analysis presented in this Lab Report supports increased funding for preventive programs rather than solely focusing on expensive restorative procedures after damage has occurred.</w:t>
      </w:r>
    </w:p>
    <w:p>
      <w:pPr>
        <w:pStyle w:val="BodyText"/>
      </w:pPr>
      <w:r>
        <w:t xml:space="preserve">5. Recommendations</w:t>
      </w:r>
    </w:p>
    <w:p>
      <w:pPr>
        <w:pStyle w:val="BodyText"/>
      </w:pPr>
      <w:r>
        <w:t xml:space="preserve">Based on the evidence presented in this Lab Report regarding Myanmar Yangon, we propose the following recommendations for stakeholders:</w:t>
      </w:r>
    </w:p>
    <w:p>
      <w:pPr>
        <w:numPr>
          <w:ilvl w:val="0"/>
          <w:numId w:val="1001"/>
        </w:numPr>
        <w:pStyle w:val="Compact"/>
      </w:pPr>
      <w:r>
        <w:rPr>
          <w:bCs/>
          <w:b/>
        </w:rPr>
        <w:t xml:space="preserve">Enhanced Preventive Education:</w:t>
      </w:r>
      <w:r>
        <w:t xml:space="preserve"> </w:t>
      </w:r>
      <w:r>
        <w:t xml:space="preserve">Launch targeted campaigns in schools and workplaces throughout Myanmar Yangon focusing on sugar reduction and proper brushing techniques.</w:t>
      </w:r>
    </w:p>
    <w:p>
      <w:pPr>
        <w:numPr>
          <w:ilvl w:val="0"/>
          <w:numId w:val="1001"/>
        </w:numPr>
        <w:pStyle w:val="Compact"/>
      </w:pPr>
      <w:r>
        <w:rPr>
          <w:bCs/>
          <w:b/>
        </w:rPr>
        <w:t xml:space="preserve">Infrastructure Development:</w:t>
      </w:r>
      <w:r>
        <w:t xml:space="preserve"> </w:t>
      </w:r>
      <w:r>
        <w:t xml:space="preserve">Improve the distribution of dental clinics in underserved areas of Myanmar Yangon to ensure equitable access to care.</w:t>
      </w:r>
    </w:p>
    <w:p>
      <w:pPr>
        <w:numPr>
          <w:ilvl w:val="0"/>
          <w:numId w:val="1001"/>
        </w:numPr>
        <w:pStyle w:val="Compact"/>
      </w:pPr>
      <w:r>
        <w:rPr>
          <w:bCs/>
          <w:b/>
        </w:rPr>
        <w:t xml:space="preserve">Digital Integration:</w:t>
      </w:r>
      <w:r>
        <w:t xml:space="preserve"> </w:t>
      </w:r>
      <w:r>
        <w:t xml:space="preserve">Encourage the adoption of digital radiography and electronic health records in local clinics to improve diagnostic accuracy and patient tracking.</w:t>
      </w:r>
    </w:p>
    <w:p>
      <w:pPr>
        <w:numPr>
          <w:ilvl w:val="0"/>
          <w:numId w:val="1001"/>
        </w:numPr>
        <w:pStyle w:val="Compact"/>
      </w:pPr>
      <w:r>
        <w:rPr>
          <w:bCs/>
          <w:b/>
        </w:rPr>
        <w:t xml:space="preserve">Subsidized Care Programs:</w:t>
      </w:r>
      <w:r>
        <w:t xml:space="preserve"> </w:t>
      </w:r>
      <w:r>
        <w:t xml:space="preserve">Implement government-subsidized dental care for low-income families to reduce the barrier of cost, which is a major deterrent in Myanmar Yangon.</w:t>
      </w:r>
    </w:p>
    <w:p>
      <w:pPr>
        <w:pStyle w:val="FirstParagraph"/>
      </w:pPr>
      <w:r>
        <w:t xml:space="preserve">6. Conclusion</w:t>
      </w:r>
    </w:p>
    <w:p>
      <w:pPr>
        <w:pStyle w:val="BodyText"/>
      </w:pPr>
      <w:r>
        <w:t xml:space="preserve">This Lab Report has provided a comprehensive overview of the dental health situation in Myanmar Yangon. The data unequivocally demonstrates that while progress is being made, significant challenges remain. The high prevalence of caries and periodontal disease indicates a urgent need for systemic change. By addressing these issues through informed policy and community engagement, Myanmar Yangon can improve the quality of life for its residents.</w:t>
      </w:r>
    </w:p>
    <w:p>
      <w:pPr>
        <w:pStyle w:val="BodyText"/>
      </w:pPr>
      <w:r>
        <w:t xml:space="preserve">Future research should focus on longitudinal studies to track the impact of preventive interventions over time. Continuous monitoring is essential to ensure that strategies implemented today yield sustainable benefits for the people of Myanmar Yangon in the long term. This Lab Report serves as a foundational document for these future endeavors, underscoring the importance of rigorous scientific inquiry in public health management.</w:t>
      </w:r>
    </w:p>
    <w:p>
      <w:pPr>
        <w:pStyle w:val="BodyText"/>
      </w:pPr>
      <w:r>
        <w:rPr>
          <w:iCs/>
          <w:i/>
        </w:rPr>
        <w:t xml:space="preserve">This document is confidential and intended solely for clinical review purposes. All data pertaining to patients in Myanmar Yangon has been anonymized in accordance with ethical 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Laboratory Report: Clinical Analysis of Oral Health Services in Myanmar Yangon</dc:title>
  <dc:creator/>
  <dc:language>en</dc:language>
  <cp:keywords/>
  <dcterms:created xsi:type="dcterms:W3CDTF">2026-07-29T09:13:05Z</dcterms:created>
  <dcterms:modified xsi:type="dcterms:W3CDTF">2026-07-29T09:13:05Z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