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Clinical</w:t>
      </w:r>
      <w:r>
        <w:t xml:space="preserve"> </w:t>
      </w:r>
      <w:r>
        <w:t xml:space="preserve">Laboratory</w:t>
      </w:r>
      <w:r>
        <w:t xml:space="preserve"> </w:t>
      </w:r>
      <w:r>
        <w:t xml:space="preserve">Report:</w:t>
      </w:r>
      <w:r>
        <w:t xml:space="preserve"> </w:t>
      </w:r>
      <w:r>
        <w:t xml:space="preserve">Comprehensive</w:t>
      </w:r>
      <w:r>
        <w:t xml:space="preserve"> </w:t>
      </w:r>
      <w:r>
        <w:t xml:space="preserve">Oral</w:t>
      </w:r>
      <w:r>
        <w:t xml:space="preserve"> </w:t>
      </w:r>
      <w:r>
        <w:t xml:space="preserve">Health</w:t>
      </w:r>
      <w:r>
        <w:t xml:space="preserve"> </w:t>
      </w:r>
      <w:r>
        <w:t xml:space="preserve">Assessment</w:t>
      </w:r>
    </w:p>
    <w:bookmarkStart w:id="20" w:name="dental-clinical-laboratory-report"/>
    <w:p>
      <w:pPr>
        <w:pStyle w:val="Heading1"/>
      </w:pPr>
      <w:r>
        <w:t xml:space="preserve">Dental Clinical Laboratory Report</w:t>
      </w:r>
    </w:p>
    <w:p>
      <w:pPr>
        <w:pStyle w:val="FirstParagraph"/>
      </w:pPr>
      <w:r>
        <w:rPr>
          <w:bCs/>
          <w:b/>
        </w:rPr>
        <w:t xml:space="preserve">Patient ID:</w:t>
      </w:r>
      <w:r>
        <w:t xml:space="preserve"> </w:t>
      </w:r>
      <w:r>
        <w:t xml:space="preserve">SA-2023-RYD-8942</w:t>
      </w:r>
      <w:r>
        <w:br/>
      </w:r>
      <w:r>
        <w:rPr>
          <w:bCs/>
          <w:b/>
        </w:rPr>
        <w:t xml:space="preserve">Date of Service:</w:t>
      </w:r>
      <w:r>
        <w:t xml:space="preserve"> </w:t>
      </w:r>
      <w:r>
        <w:t xml:space="preserve">October 24, 2023</w:t>
      </w:r>
      <w:r>
        <w:br/>
      </w:r>
      <w:r>
        <w:rPr>
          <w:bCs/>
          <w:b/>
        </w:rPr>
        <w:t xml:space="preserve">Clinic Location:</w:t>
      </w:r>
      <w:r>
        <w:t xml:space="preserve"> </w:t>
      </w:r>
      <w:r>
        <w:t xml:space="preserve">Riyadh, Saudi Arabia</w:t>
      </w:r>
      <w:r>
        <w:br/>
      </w:r>
      <w:r>
        <w:rPr>
          <w:bCs/>
          <w:b/>
        </w:rPr>
        <w:t xml:space="preserve">Attending Specialist:</w:t>
      </w:r>
      <w:r>
        <w:t xml:space="preserve"> </w:t>
      </w:r>
      <w:r>
        <w:t xml:space="preserve">Dr. Ahmed Al-Fahad, DDS, MS (Prosthodontics)</w:t>
      </w:r>
    </w:p>
    <w:bookmarkEnd w:id="20"/>
    <w:bookmarkStart w:id="21" w:name="patient-history-and-chief-complaint"/>
    <w:p>
      <w:pPr>
        <w:pStyle w:val="Heading2"/>
      </w:pPr>
      <w:r>
        <w:t xml:space="preserve">Patient History and Chief Complaint</w:t>
      </w:r>
    </w:p>
    <w:p>
      <w:pPr>
        <w:pStyle w:val="FirstParagraph"/>
      </w:pPr>
      <w:r>
        <w:t xml:space="preserve">This laboratory report serves as a comprehensive clinical summary for the dental treatment plan currently underway at our facility in Riyadh. The patient presents with chief complaints regarding persistent sensitivity in the posterior maxillary quadrant and cosmetic concerns regarding anterior discoloration. Given the high standards of healthcare delivery expected within Saudi Arabia, particularly in its capital city of Riyadh, this report details the diagnostic findings, laboratory procedures conducted on-site and off-site reference labs, and the proposed clinical interventions.</w:t>
      </w:r>
    </w:p>
    <w:p>
      <w:pPr>
        <w:pStyle w:val="BodyText"/>
      </w:pPr>
      <w:r>
        <w:t xml:space="preserve">The patient’s medical history was reviewed thoroughly to ensure compatibility with local health regulations enforced by the Saudi Ministry of Health. No significant contraindications were noted. The social history indicates a lifestyle consistent with urban living in Riyadh, including dietary habits that may contribute to enamel erosion, such as frequent consumption of sugary beverages and traditional sweets common in the region.</w:t>
      </w:r>
    </w:p>
    <w:bookmarkEnd w:id="21"/>
    <w:bookmarkStart w:id="22" w:name="clinical-examination-findings"/>
    <w:p>
      <w:pPr>
        <w:pStyle w:val="Heading2"/>
      </w:pPr>
      <w:r>
        <w:t xml:space="preserve">Clinical Examination Findings</w:t>
      </w:r>
    </w:p>
    <w:p>
      <w:pPr>
        <w:pStyle w:val="FirstParagraph"/>
      </w:pPr>
      <w:r>
        <w:t xml:space="preserve">A comprehensive intraoral examination was performed using digital radiography and intraoral cameras. The findings are documented below:</w:t>
      </w:r>
    </w:p>
    <w:p>
      <w:pPr>
        <w:numPr>
          <w:ilvl w:val="0"/>
          <w:numId w:val="1001"/>
        </w:numPr>
        <w:pStyle w:val="Compact"/>
      </w:pPr>
      <w:r>
        <w:rPr>
          <w:bCs/>
          <w:b/>
        </w:rPr>
        <w:t xml:space="preserve">Intraoral Soft Tissue Exam:</w:t>
      </w:r>
      <w:r>
        <w:t xml:space="preserve">Mucosal tissues appear healthy with no signs of leukoplakia, erythroplakia, or oral lesions. Gingival margins show mild inflammation in the mandibular anterior region.</w:t>
      </w:r>
    </w:p>
    <w:p>
      <w:pPr>
        <w:numPr>
          <w:ilvl w:val="0"/>
          <w:numId w:val="1001"/>
        </w:numPr>
        <w:pStyle w:val="Compact"/>
      </w:pPr>
      <w:r>
        <w:rPr>
          <w:bCs/>
          <w:b/>
        </w:rPr>
        <w:t xml:space="preserve">Periodontal Status:</w:t>
      </w:r>
      <w:r>
        <w:t xml:space="preserve"> </w:t>
      </w:r>
      <w:r>
        <w:t xml:space="preserve">Periodontal probing depths range from 3mm to 5mm. Early stages of periodontitis are noted on tooth #16 and #26.</w:t>
      </w:r>
    </w:p>
    <w:p>
      <w:pPr>
        <w:numPr>
          <w:ilvl w:val="0"/>
          <w:numId w:val="1001"/>
        </w:numPr>
        <w:pStyle w:val="Compact"/>
      </w:pPr>
      <w:r>
        <w:rPr>
          <w:bCs/>
          <w:b/>
        </w:rPr>
        <w:t xml:space="preserve">Caries Detection:</w:t>
      </w:r>
      <w:r>
        <w:t xml:space="preserve"> </w:t>
      </w:r>
      <w:r>
        <w:t xml:space="preserve">Digital bitewing radiographs reveal occlusal caries on tooth #14 and interproximal decay between teeth #20-21.</w:t>
      </w:r>
    </w:p>
    <w:p>
      <w:pPr>
        <w:numPr>
          <w:ilvl w:val="0"/>
          <w:numId w:val="1001"/>
        </w:numPr>
        <w:pStyle w:val="Compact"/>
      </w:pPr>
      <w:r>
        <w:rPr>
          <w:bCs/>
          <w:b/>
        </w:rPr>
        <w:t xml:space="preserve">Aesthetic Assessment:</w:t>
      </w:r>
      <w:r>
        <w:t xml:space="preserve"> </w:t>
      </w:r>
      <w:r>
        <w:t xml:space="preserve">Significant tetracycline staining and fluorosis are present on anterior teeth #7, 8, 9, 10.</w:t>
      </w:r>
    </w:p>
    <w:bookmarkEnd w:id="22"/>
    <w:bookmarkStart w:id="26" w:name="laboratory-procedures-and-fabrication"/>
    <w:p>
      <w:pPr>
        <w:pStyle w:val="Heading2"/>
      </w:pPr>
      <w:r>
        <w:t xml:space="preserve">Laboratory Procedures and Fabrication</w:t>
      </w:r>
    </w:p>
    <w:p>
      <w:pPr>
        <w:pStyle w:val="FirstParagraph"/>
      </w:pPr>
      <w:r>
        <w:t xml:space="preserve">To address the clinical findings identified during the examination in Riyadh, several laboratory protocols were initiated. Precision in dental restorations is critical for long-term success and patient satisfaction. The following procedures were undertaken:</w:t>
      </w:r>
    </w:p>
    <w:bookmarkStart w:id="23" w:name="digital-impression-scanning"/>
    <w:p>
      <w:pPr>
        <w:pStyle w:val="Heading3"/>
      </w:pPr>
      <w:r>
        <w:t xml:space="preserve">1. Digital Impression Scanning</w:t>
      </w:r>
    </w:p>
    <w:p>
      <w:pPr>
        <w:pStyle w:val="FirstParagraph"/>
      </w:pPr>
      <w:r>
        <w:t xml:space="preserve">An intraoral scanner was used to capture high-resolution 3D images of the prepared teeth for crowns on #14 and #26. These digital impressions were sent to our in-house CAD/CAM laboratory located within the same facility in Riyadh, ensuring rapid turnaround times and precise fit. The use of digital technology aligns with the modernization goals of healthcare infrastructure in Saudi Arabia.</w:t>
      </w:r>
    </w:p>
    <w:bookmarkEnd w:id="23"/>
    <w:bookmarkStart w:id="24" w:name="ceramic-crown-fabrication"/>
    <w:p>
      <w:pPr>
        <w:pStyle w:val="Heading3"/>
      </w:pPr>
      <w:r>
        <w:t xml:space="preserve">2. Ceramic Crown Fabrication</w:t>
      </w:r>
    </w:p>
    <w:p>
      <w:pPr>
        <w:pStyle w:val="FirstParagraph"/>
      </w:pPr>
      <w:r>
        <w:t xml:space="preserve">Zirconia cores were milled based on the scanned models. Zirconia was selected for its high strength and aesthetic translucency, suitable for both posterior and anterior restorations. The crowns were layered with feldspathic porcelain to mimic natural tooth structure. This process required multiple firing cycles in our dental laboratory furnace.</w:t>
      </w:r>
    </w:p>
    <w:bookmarkEnd w:id="24"/>
    <w:bookmarkStart w:id="25" w:name="whitening-tray-fabrication"/>
    <w:p>
      <w:pPr>
        <w:pStyle w:val="Heading3"/>
      </w:pPr>
      <w:r>
        <w:t xml:space="preserve">3. Whitening Tray Fabrication</w:t>
      </w:r>
    </w:p>
    <w:p>
      <w:pPr>
        <w:pStyle w:val="FirstParagraph"/>
      </w:pPr>
      <w:r>
        <w:t xml:space="preserve">Ethylene-vinyl acetate (EVA) trays were fabricated for custom at-home bleaching of the anterior teeth. The trays were designed to maximize contact with the bleaching agent while minimizing gingival irritation, a common concern in aesthetic dentistry.</w:t>
      </w:r>
    </w:p>
    <w:bookmarkEnd w:id="25"/>
    <w:bookmarkEnd w:id="26"/>
    <w:bookmarkStart w:id="27" w:name="diagnostic-analysis"/>
    <w:p>
      <w:pPr>
        <w:pStyle w:val="Heading2"/>
      </w:pPr>
      <w:r>
        <w:t xml:space="preserve">Diagnostic Analysis</w:t>
      </w:r>
    </w:p>
    <w:p>
      <w:pPr>
        <w:pStyle w:val="FirstParagraph"/>
      </w:pPr>
      <w:r>
        <w:t xml:space="preserve">The diagnostic analysis combines clinical observation with laboratory data. The carious lesions on #14 and #26 have been classified as D3 (cavitated dentin involvement). Given the location in Riyadh, where access to emergency dental care is readily available but prevention is prioritized, immediate restorative intervention is recommended.</w:t>
      </w:r>
    </w:p>
    <w:p>
      <w:pPr>
        <w:pStyle w:val="BodyText"/>
      </w:pPr>
      <w:r>
        <w:t xml:space="preserve">The periodontal findings suggest a need for non-surgical periodontal therapy. Scaling and root planing will be conducted prior to any restorative work to ensure healthy tissue beds for crown margins. This step-by-step approach ensures that the final laboratory results (the crowns) are placed on a stable biological foundation.</w:t>
      </w:r>
    </w:p>
    <w:bookmarkEnd w:id="27"/>
    <w:bookmarkStart w:id="28" w:name="proposed-treatment-plan"/>
    <w:p>
      <w:pPr>
        <w:pStyle w:val="Heading2"/>
      </w:pPr>
      <w:r>
        <w:t xml:space="preserve">Proposed Treatment Plan</w:t>
      </w:r>
    </w:p>
    <w:p>
      <w:pPr>
        <w:pStyle w:val="FirstParagraph"/>
      </w:pPr>
      <w:r>
        <w:t xml:space="preserve">Based on the clinical examination and laboratory reports, the following phased treatment plan is proposed:</w:t>
      </w:r>
    </w:p>
    <w:p>
      <w:pPr>
        <w:numPr>
          <w:ilvl w:val="0"/>
          <w:numId w:val="1002"/>
        </w:numPr>
        <w:pStyle w:val="Compact"/>
      </w:pPr>
      <w:r>
        <w:rPr>
          <w:bCs/>
          <w:b/>
        </w:rPr>
        <w:t xml:space="preserve">Maintenance Phase:</w:t>
      </w:r>
    </w:p>
    <w:p>
      <w:pPr>
        <w:numPr>
          <w:ilvl w:val="0"/>
          <w:numId w:val="1002"/>
        </w:numPr>
        <w:pStyle w:val="Compact"/>
      </w:pPr>
      <w:r>
        <w:rPr>
          <w:bCs/>
          <w:b/>
        </w:rPr>
        <w:t xml:space="preserve">Restorative Phase 1:</w:t>
      </w:r>
    </w:p>
    <w:p>
      <w:pPr>
        <w:numPr>
          <w:ilvl w:val="0"/>
          <w:numId w:val="1002"/>
        </w:numPr>
        <w:pStyle w:val="Compact"/>
      </w:pPr>
      <w:r>
        <w:rPr>
          <w:bCs/>
          <w:b/>
        </w:rPr>
        <w:t xml:space="preserve">Aesthetic Phase:</w:t>
      </w:r>
    </w:p>
    <w:p>
      <w:pPr>
        <w:numPr>
          <w:ilvl w:val="0"/>
          <w:numId w:val="1002"/>
        </w:numPr>
        <w:pStyle w:val="Compact"/>
      </w:pPr>
      <w:r>
        <w:rPr>
          <w:bCs/>
          <w:b/>
        </w:rPr>
        <w:t xml:space="preserve">Maintenance Phase 2:</w:t>
      </w:r>
    </w:p>
    <w:bookmarkEnd w:id="28"/>
    <w:bookmarkStart w:id="29" w:name="infection-control-and-safety-compliance"/>
    <w:p>
      <w:pPr>
        <w:pStyle w:val="Heading2"/>
      </w:pPr>
      <w:r>
        <w:t xml:space="preserve">Infection Control and Safety Compliance</w:t>
      </w:r>
    </w:p>
    <w:p>
      <w:pPr>
        <w:pStyle w:val="FirstParagraph"/>
      </w:pPr>
      <w:r>
        <w:t xml:space="preserve">All laboratory procedures were conducted in strict adherence to infection control guidelines mandated by the Saudi Ministry of Health. Personal protective equipment (PPE) was worn by all dental staff. Instruments were sterilized using autoclaves that are monitored regularly for efficacy. The lab environment is maintained under controlled humidity and temperature to ensure the integrity of digital impressions and ceramic materials.</w:t>
      </w:r>
    </w:p>
    <w:bookmarkEnd w:id="29"/>
    <w:bookmarkStart w:id="30" w:name="conclusion"/>
    <w:p>
      <w:pPr>
        <w:pStyle w:val="Heading2"/>
      </w:pPr>
      <w:r>
        <w:t xml:space="preserve">Conclusion</w:t>
      </w:r>
    </w:p>
    <w:p>
      <w:pPr>
        <w:pStyle w:val="FirstParagraph"/>
      </w:pPr>
      <w:r>
        <w:t xml:space="preserve">This Dental Laboratory Report summarizes the diagnostic journey from initial presentation in Riyadh to the fabrication of custom restorations. The integration of advanced digital dentistry with traditional laboratory craftsmanship ensures optimal outcomes for our patients. By adhering to international standards while respecting local healthcare regulations, we aim to deliver superior dental care.</w:t>
      </w:r>
    </w:p>
    <w:p>
      <w:pPr>
        <w:pStyle w:val="BodyText"/>
      </w:pPr>
      <w:r>
        <w:t xml:space="preserve">The collaboration between the clinical team and the dental laboratory is crucial for success. Accurate diagnosis leads to appropriate material selection, which in turn dictates the longevity and aesthetic appeal of the final restoration. We are committed to providing exceptional service to our patients in Saudi Arabia, ensuring that their oral health contributes positively to their overall well-being.</w:t>
      </w:r>
    </w:p>
    <w:bookmarkEnd w:id="30"/>
    <w:bookmarkStart w:id="31" w:name="recommendations-for-the-patient"/>
    <w:p>
      <w:pPr>
        <w:pStyle w:val="Heading2"/>
      </w:pPr>
      <w:r>
        <w:t xml:space="preserve">Recommendations for the Patient</w:t>
      </w:r>
    </w:p>
    <w:p>
      <w:pPr>
        <w:numPr>
          <w:ilvl w:val="0"/>
          <w:numId w:val="1003"/>
        </w:numPr>
        <w:pStyle w:val="Compact"/>
      </w:pPr>
      <w:r>
        <w:t xml:space="preserve">Maintain rigorous oral hygiene practices, including brushing twice daily and flossing.</w:t>
      </w:r>
    </w:p>
    <w:p>
      <w:pPr>
        <w:numPr>
          <w:ilvl w:val="0"/>
          <w:numId w:val="1003"/>
        </w:numPr>
        <w:pStyle w:val="Compact"/>
      </w:pPr>
      <w:r>
        <w:t xml:space="preserve">Dietary modifications are recommended to reduce sugar intake, particularly sticky sweets common in local cuisine.</w:t>
      </w:r>
    </w:p>
    <w:p>
      <w:pPr>
        <w:numPr>
          <w:ilvl w:val="0"/>
          <w:numId w:val="1003"/>
        </w:numPr>
        <w:pStyle w:val="Compact"/>
      </w:pPr>
      <w:r>
        <w:t xml:space="preserve">Avoid using teeth as tools to prevent fracture of laboratory-fabricated ceramics.</w:t>
      </w:r>
    </w:p>
    <w:p>
      <w:pPr>
        <w:pStyle w:val="FirstParagraph"/>
      </w:pPr>
      <w:r>
        <w:rPr>
          <w:bCs/>
          <w:b/>
        </w:rPr>
        <w:t xml:space="preserve">Clinical Dentist:</w:t>
      </w:r>
      <w:r>
        <w:br/>
      </w:r>
      <w:r>
        <w:t xml:space="preserve">Dr. Ahmed Al-Fahad</w:t>
      </w:r>
      <w:r>
        <w:br/>
      </w:r>
      <w:r>
        <w:t xml:space="preserve">Riyadh, Saudi Arabia</w:t>
      </w:r>
    </w:p>
    <w:p>
      <w:pPr>
        <w:pStyle w:val="BodyText"/>
      </w:pPr>
      <w:r>
        <w:rPr>
          <w:bCs/>
          <w:b/>
        </w:rPr>
        <w:t xml:space="preserve">Laboratory Technician:</w:t>
      </w:r>
      <w:r>
        <w:br/>
      </w:r>
      <w:r>
        <w:t xml:space="preserve">Omar Khalid</w:t>
      </w:r>
      <w:r>
        <w:br/>
      </w:r>
      <w:r>
        <w:t xml:space="preserve">Certified Dental Technician</w:t>
      </w:r>
    </w:p>
    <w:p>
      <w:pPr>
        <w:pStyle w:val="BodyText"/>
      </w:pPr>
      <w:r>
        <w:t xml:space="preserve">&gt;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Clinical Laboratory Report: Comprehensive Oral Health Assessment</dc:title>
  <dc:creator/>
  <cp:keywords/>
  <dcterms:created xsi:type="dcterms:W3CDTF">2026-07-29T00:59:42Z</dcterms:created>
  <dcterms:modified xsi:type="dcterms:W3CDTF">2026-07-29T00:59:42Z</dcterms:modified>
</cp:coreProperties>
</file>

<file path=docProps/custom.xml><?xml version="1.0" encoding="utf-8"?>
<Properties xmlns="http://schemas.openxmlformats.org/officeDocument/2006/custom-properties" xmlns:vt="http://schemas.openxmlformats.org/officeDocument/2006/docPropsVTypes"/>
</file>