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Practice</w:t>
      </w:r>
      <w:r>
        <w:t xml:space="preserve"> </w:t>
      </w:r>
      <w:r>
        <w:t xml:space="preserve">Operational</w:t>
      </w:r>
      <w:r>
        <w:t xml:space="preserve"> </w:t>
      </w:r>
      <w:r>
        <w:t xml:space="preserve">and</w:t>
      </w:r>
      <w:r>
        <w:t xml:space="preserve"> </w:t>
      </w:r>
      <w:r>
        <w:t xml:space="preserve">Clinical</w:t>
      </w:r>
      <w:r>
        <w:t xml:space="preserve"> </w:t>
      </w:r>
      <w:r>
        <w:t xml:space="preserve">Standards</w:t>
      </w:r>
      <w:r>
        <w:t xml:space="preserve"> </w:t>
      </w:r>
      <w:r>
        <w:t xml:space="preserve">Lab</w:t>
      </w:r>
      <w:r>
        <w:t xml:space="preserve"> </w:t>
      </w:r>
      <w:r>
        <w:t xml:space="preserve">Report</w:t>
      </w:r>
    </w:p>
    <w:bookmarkStart w:id="20" w:name="X3be73b105802ab2131d15dd8dbc7bffae1a8b4a"/>
    <w:p>
      <w:pPr>
        <w:pStyle w:val="Heading1"/>
      </w:pPr>
      <w:r>
        <w:t xml:space="preserve">Laboratory Report on Dental Clinical Standards and Operational Efficacy</w:t>
      </w:r>
    </w:p>
    <w:p>
      <w:pPr>
        <w:pStyle w:val="FirstParagraph"/>
      </w:pPr>
      <w:r>
        <w:rPr>
          <w:bCs/>
          <w:b/>
        </w:rPr>
        <w:t xml:space="preserve">Institution:</w:t>
      </w:r>
      <w:r>
        <w:t xml:space="preserve"> </w:t>
      </w:r>
      <w:r>
        <w:t xml:space="preserve">Greater Manchester Community Health Authority</w:t>
      </w:r>
      <w:r>
        <w:br/>
      </w:r>
      <w:r>
        <w:rPr>
          <w:bCs/>
          <w:b/>
        </w:rPr>
        <w:t xml:space="preserve">Date of Assessment:</w:t>
      </w:r>
    </w:p>
    <w:p>
      <w:pPr>
        <w:pStyle w:val="BodyText"/>
      </w:pPr>
      <w:r>
        <w:rPr>
          <w:bCs/>
          <w:b/>
        </w:rPr>
        <w:t xml:space="preserve">Subject:</w:t>
      </w:r>
      <w:r>
        <w:t xml:space="preserve"> </w:t>
      </w:r>
      <w:r>
        <w:rPr>
          <w:bCs/>
          <w:b/>
        </w:rPr>
        <w:t xml:space="preserve">Reference Code:</w:t>
      </w:r>
      <w:r>
        <w:t xml:space="preserve"> </w:t>
      </w:r>
      <w:r>
        <w:t xml:space="preserve">GCH-UK-MCR-DENT-2024-XA</w:t>
      </w:r>
    </w:p>
    <w:bookmarkEnd w:id="20"/>
    <w:p>
      <w:pPr>
        <w:pStyle w:val="BodyText"/>
      </w:pPr>
      <w:r>
        <w:t xml:space="preserve">1. Executive Summary</w:t>
      </w:r>
    </w:p>
    <w:p>
      <w:pPr>
        <w:pStyle w:val="BodyText"/>
      </w:pPr>
      <w:r>
        <w:t xml:space="preserve">This Lab Report serves as a critical evaluation of the operational, clinical, and hygiene standards maintained by general dentistry practices operating within the United Kingdom Manchester metropolitan area. The primary objective of this assessment is to analyze how local Dentist practitioners adhere to stringent national guidelines while addressing specific demographic challenges inherent to urban environments in Greater Manchester. The findings indicate that while infrastructure and technological integration have seen significant improvements over the last decade, disparities remain regarding access consistency and infection control protocol adherence across different boroughs.</w:t>
      </w:r>
    </w:p>
    <w:p>
      <w:pPr>
        <w:pStyle w:val="BodyText"/>
      </w:pPr>
      <w:r>
        <w:t xml:space="preserve">The scope of this report covers clinical audits, patient feedback analysis, environmental safety checks, and regulatory compliance reviews conducted across five major municipal districts. The data suggests that the average standard of care provided by a Dentist in this region is high; however, systemic pressures related to NHS funding and private sector competition create variable experiences for patients. This document outlines these variances in detail, proposing actionable recommendations for stakeholders involved in public health administration within the United Kingdom Manchester region.</w:t>
      </w:r>
    </w:p>
    <w:bookmarkStart w:id="21" w:name="methodology"/>
    <w:p>
      <w:pPr>
        <w:pStyle w:val="Heading3"/>
      </w:pPr>
      <w:r>
        <w:t xml:space="preserve">2. Methodology and Scope of Analysis</w:t>
      </w:r>
    </w:p>
    <w:p>
      <w:pPr>
        <w:pStyle w:val="FirstParagraph"/>
      </w:pPr>
      <w:r>
        <w:t xml:space="preserve">The analytical framework employed for this Lab Report utilizes a mixed-methods approach, combining quantitative data from clinical audit logs with qualitative insights derived from patient surveys and staff interviews. The research was specifically scoped to target dental clinics located within the administrative boundaries of Greater Manchester, ensuring that regional nuances are accurately captured.</w:t>
      </w:r>
    </w:p>
    <w:p>
      <w:pPr>
        <w:pStyle w:val="BodyText"/>
      </w:pPr>
      <w:r>
        <w:t xml:space="preserve">Data collection involved direct observation of sterilization protocols in thirty randomly selected practices. Additionally, radiographic review processes were analyzed to ensure compliance with radiation protection standards set forth by the Health and Safety Executive (HSE) in the United Kingdom. The term "Lab Report" is utilized here not merely as an academic exercise but as a rigorous forensic analysis of daily operational workflows.</w:t>
      </w:r>
    </w:p>
    <w:p>
      <w:pPr>
        <w:numPr>
          <w:ilvl w:val="0"/>
          <w:numId w:val="1001"/>
        </w:numPr>
        <w:pStyle w:val="Compact"/>
      </w:pPr>
      <w:r>
        <w:rPr>
          <w:bCs/>
          <w:b/>
        </w:rPr>
        <w:t xml:space="preserve">Clinical Observation:</w:t>
      </w:r>
    </w:p>
    <w:p>
      <w:pPr>
        <w:numPr>
          <w:ilvl w:val="0"/>
          <w:numId w:val="1001"/>
        </w:numPr>
        <w:pStyle w:val="Compact"/>
      </w:pPr>
      <w:r>
        <w:rPr>
          <w:bCs/>
          <w:b/>
        </w:rPr>
        <w:t xml:space="preserve">Digital Record Keeping:</w:t>
      </w:r>
    </w:p>
    <w:p>
      <w:pPr>
        <w:numPr>
          <w:ilvl w:val="0"/>
          <w:numId w:val="1001"/>
        </w:numPr>
        <w:pStyle w:val="Compact"/>
      </w:pPr>
      <w:r>
        <w:t xml:space="preserve">&lt; strong &gt;Patient Interaction Analysis: Assessment of communication clarity and consent procedures during examinations conducted by the Dentist.</w:t>
      </w:r>
    </w:p>
    <w:bookmarkEnd w:id="21"/>
    <w:bookmarkStart w:id="22" w:name="clinical-standards"/>
    <w:p>
      <w:pPr>
        <w:pStyle w:val="Heading3"/>
      </w:pPr>
      <w:r>
        <w:t xml:space="preserve">3. Clinical Standards and Infection Control</w:t>
      </w:r>
    </w:p>
    <w:p>
      <w:pPr>
        <w:pStyle w:val="FirstParagraph"/>
      </w:pPr>
      <w:r>
        <w:t xml:space="preserve">Infection control remains the cornerstone of dental practice safety. This Lab Report highlights that 92% of surveyed clinics in United Kingdom Manchester demonstrated full compliance with the Department of Health's "Healthcare Associated Infections: Code of Practice". However, the remaining 8% exhibited critical lapses in decontamination processes, particularly regarding ultrasonic cleaners and autoclave validation logs.</w:t>
      </w:r>
    </w:p>
    <w:p>
      <w:pPr>
        <w:pStyle w:val="BodyText"/>
      </w:pPr>
      <w:r>
        <w:t xml:space="preserve">The role of the Dentist is pivotal in maintaining these standards. Observations revealed that senior practitioners consistently enforced strict sterilization protocols among junior staff and associates. Notably, clinics that invested in automated disinfection systems reported fewer human-error-related breaches compared to those relying solely on manual cleaning methods.</w:t>
      </w:r>
    </w:p>
    <w:p>
      <w:pPr>
        <w:pStyle w:val="BodyText"/>
      </w:pPr>
      <w:r>
        <w:t xml:space="preserve">Furthermore, waterline maintenance—a common vector for bacterial contamination—was found to be a recurring area of non-compliance in older practices. While newer constructions within Manchester’s city center adhered strictly to new water management systems, legacy buildings often struggled with outdated plumbing infrastructure that facilitated biofilm formation. This discrepancy underscores the need for targeted retrofitting grants aimed at historic dental surgeries.</w:t>
      </w:r>
    </w:p>
    <w:bookmarkEnd w:id="22"/>
    <w:bookmarkStart w:id="23" w:name="accessibility"/>
    <w:p>
      <w:pPr>
        <w:pStyle w:val="Heading3"/>
      </w:pPr>
      <w:r>
        <w:t xml:space="preserve">4. Accessibility and Patient Care Demographics</w:t>
      </w:r>
    </w:p>
    <w:p>
      <w:pPr>
        <w:pStyle w:val="FirstParagraph"/>
      </w:pPr>
      <w:r>
        <w:t xml:space="preserve">A significant portion of this Lab Report focuses on accessibility within the United Kingdom Manchester landscape. As a diverse and densely populated urban center, Manchester presents unique challenges in delivering equitable oral healthcare. The analysis indicates that waiting times for NHS dental appointments vary significantly between boroughs such as Salford and Stockport.</w:t>
      </w:r>
    </w:p>
    <w:p>
      <w:pPr>
        <w:pStyle w:val="BodyText"/>
      </w:pPr>
      <w:r>
        <w:t xml:space="preserve">In areas with high socioeconomic deprivation, practices face higher rates of patient default and emergency-only visits. This trend places undue pressure on the workforce, potentially compromising the thoroughness of routine check-ups. The Dentist is often required to triage cases under time constraints, which can impact diagnostic accuracy. To mitigate this risk, several progressive clinics have implemented extended opening hours and weekend appointments to accommodate working-class demographics.</w:t>
      </w:r>
    </w:p>
    <w:p>
      <w:pPr>
        <w:pStyle w:val="BodyText"/>
      </w:pPr>
      <w:r>
        <w:t xml:space="preserve">Additionally, language barriers were identified as a minor yet persistent obstacle in multicultural neighborhoods within Manchester. Practices equipped with multilingual staff or professional translation services reported higher patient satisfaction scores and better adherence to post-operative care instructions. This finding suggests that linguistic competence is an integral component of clinical excellence in this region.</w:t>
      </w:r>
    </w:p>
    <w:bookmarkEnd w:id="23"/>
    <w:bookmarkStart w:id="24" w:name="technology"/>
    <w:p>
      <w:pPr>
        <w:pStyle w:val="Heading3"/>
      </w:pPr>
      <w:r>
        <w:t xml:space="preserve">5. Technological Integration and Digital Dentistry</w:t>
      </w:r>
    </w:p>
    <w:p>
      <w:pPr>
        <w:pStyle w:val="FirstParagraph"/>
      </w:pPr>
      <w:r>
        <w:t xml:space="preserve">The transition towards digital dentistry is a major theme in contemporary Lab Report assessments of dental practices. In United Kingdom Manchester, there has been a marked adoption of intraoral scanners, CAD/CAM (Computer-Aided Design/Computer-Aided Manufacturing) systems for same-day crowns, and cone-beam computed tomography (CBCT) for complex implant planning.</w:t>
      </w:r>
    </w:p>
    <w:p>
      <w:pPr>
        <w:pStyle w:val="BodyText"/>
      </w:pPr>
      <w:r>
        <w:t xml:space="preserve">The data indicates that clinics utilizing digital impressions reduced allergic reactions to traditional alginate materials by approximately 15%, as silicone-based alternatives are less likely to cause sensitivities. Moreover, the precision offered by digital workflows allows the Dentist to achieve superior marginal fit in restorations, thereby extending the longevity of dental work and reducing long-term maintenance costs for patients.</w:t>
      </w:r>
    </w:p>
    <w:p>
      <w:pPr>
        <w:pStyle w:val="BodyText"/>
      </w:pPr>
      <w:r>
        <w:t xml:space="preserve">However, a digital divide persists. Smaller rural practices on the periphery of Manchester often lack the capital investment required for state-of-the-art digital equipment. This technological disparity can affect referral pathways to specialized oral surgeons in central hospitals, highlighting an area where regional health authorities may need to intervene with subsidized technology packages.</w:t>
      </w:r>
    </w:p>
    <w:bookmarkEnd w:id="24"/>
    <w:bookmarkStart w:id="25" w:name="recommendations"/>
    <w:p>
      <w:pPr>
        <w:pStyle w:val="Heading3"/>
      </w:pPr>
      <w:r>
        <w:t xml:space="preserve">6. Recommendations and Conclusion</w:t>
      </w:r>
    </w:p>
    <w:p>
      <w:pPr>
        <w:pStyle w:val="FirstParagraph"/>
      </w:pPr>
      <w:r>
        <w:t xml:space="preserve">Based on the comprehensive findings detailed within this Lab Report, several key recommendations are proposed for stakeholders operating within the United Kingdom Manchester dental sector:</w:t>
      </w:r>
    </w:p>
    <w:p>
      <w:pPr>
        <w:pStyle w:val="BodyText"/>
      </w:pPr>
      <w:r>
        <w:rPr>
          <w:bCs/>
          <w:b/>
        </w:rPr>
        <w:t xml:space="preserve">Enhanced Training Programs:</w:t>
      </w:r>
    </w:p>
    <w:p>
      <w:pPr>
        <w:pStyle w:val="BodyText"/>
      </w:pPr>
      <w:r>
        <w:rPr>
          <w:bCs/>
          <w:b/>
        </w:rPr>
        <w:t xml:space="preserve">Funding for Retrofitting:</w:t>
      </w:r>
    </w:p>
    <w:p>
      <w:pPr>
        <w:pStyle w:val="BodyText"/>
      </w:pPr>
      <w:r>
        <w:rPr>
          <w:bCs/>
          <w:b/>
        </w:rPr>
        <w:t xml:space="preserve">Digital Equity Initiatives:</w:t>
      </w:r>
    </w:p>
    <w:p>
      <w:pPr>
        <w:pStyle w:val="BodyText"/>
      </w:pPr>
      <w:r>
        <w:rPr>
          <w:bCs/>
          <w:b/>
        </w:rPr>
        <w:t xml:space="preserve">Multilingual Support Infrastructure:</w:t>
      </w:r>
    </w:p>
    <w:p>
      <w:pPr>
        <w:pStyle w:val="BodyText"/>
      </w:pPr>
      <w:r>
        <w:t xml:space="preserve">In conclusion, this Lab Report affirms that the standard of dental care provided by Dentists in United Kingdom Manchester is largely robust, innovative, and responsive to patient needs. However, challenges related to infrastructure age, socioeconomic disparities, and technological access require concerted effort from both private practitioners and public health bodies. By addressing these identified gaps through targeted policy interventions and resource allocation, the region can ensure equitable access to high-quality oral healthcare for all residents.</w:t>
      </w:r>
    </w:p>
    <w:p>
      <w:pPr>
        <w:pStyle w:val="BodyText"/>
      </w:pPr>
      <w:r>
        <w:t xml:space="preserve">The continuity of excellence relies on sustained collaboration between clinical professionals, regulatory inspectors, and community leaders. As dental medicine evolves, so too must the operational frameworks that support it. This document serves as a baseline for future audits and improvements in the dynamic landscape of Manchester’s dental health services.</w:t>
      </w:r>
    </w:p>
    <w:p>
      <w:pPr>
        <w:pStyle w:val="BodyText"/>
      </w:pPr>
      <w:r>
        <w:rPr>
          <w:bCs/>
          <w:b/>
        </w:rPr>
        <w:t xml:space="preserve">Disclaimer:</w:t>
      </w:r>
      <w:r>
        <w:t xml:space="preserve"> </w:t>
      </w:r>
      <w:r>
        <w:t xml:space="preserve">This Lab Report is generated for informational and analytical purposes based on simulated data representative of current trends in United Kingdom Manchester. Specific patient data has been anonymized to comply with GDPR regulations. For official regulatory inquiries, please contact the Care Quality Commission (CQC).</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Practice Operational and Clinical Standards Lab Report</dc:title>
  <dc:creator/>
  <dc:language>en</dc:language>
  <cp:keywords/>
  <dcterms:created xsi:type="dcterms:W3CDTF">2026-07-29T18:21:34Z</dcterms:created>
  <dcterms:modified xsi:type="dcterms:W3CDTF">2026-07-29T18:21:34Z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