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Dental</w:t>
      </w:r>
      <w:r>
        <w:t xml:space="preserve"> </w:t>
      </w:r>
      <w:r>
        <w:t xml:space="preserve">Health</w:t>
      </w:r>
      <w:r>
        <w:t xml:space="preserve"> </w:t>
      </w:r>
      <w:r>
        <w:t xml:space="preserve">Analysis</w:t>
      </w:r>
      <w:r>
        <w:t xml:space="preserve"> </w:t>
      </w:r>
      <w:r>
        <w:t xml:space="preserve">for</w:t>
      </w:r>
      <w:r>
        <w:t xml:space="preserve"> </w:t>
      </w:r>
      <w:r>
        <w:t xml:space="preserve">United</w:t>
      </w:r>
      <w:r>
        <w:t xml:space="preserve"> </w:t>
      </w:r>
      <w:r>
        <w:t xml:space="preserve">States</w:t>
      </w:r>
      <w:r>
        <w:t xml:space="preserve"> </w:t>
      </w:r>
      <w:r>
        <w:t xml:space="preserve">Miami</w:t>
      </w:r>
      <w:r>
        <w:t xml:space="preserve"> </w:t>
      </w:r>
      <w:r>
        <w:t xml:space="preserve">Residents</w:t>
      </w:r>
    </w:p>
    <w:bookmarkStart w:id="20" w:name="dental-clinical-laboratory-report"/>
    <w:p>
      <w:pPr>
        <w:pStyle w:val="Heading1"/>
      </w:pPr>
      <w:r>
        <w:t xml:space="preserve">Dental Clinical Laboratory Report</w:t>
      </w:r>
    </w:p>
    <w:p>
      <w:pPr>
        <w:pStyle w:val="FirstParagraph"/>
      </w:pPr>
      <w:r>
        <w:rPr>
          <w:bCs/>
          <w:b/>
        </w:rPr>
        <w:t xml:space="preserve">Date:</w:t>
      </w:r>
      <w:r>
        <w:t xml:space="preserve"> </w:t>
      </w:r>
      <w:r>
        <w:t xml:space="preserve">October 26, 2023</w:t>
      </w:r>
      <w:r>
        <w:br/>
      </w:r>
      <w:r>
        <w:rPr>
          <w:bCs/>
          <w:b/>
        </w:rPr>
        <w:t xml:space="preserve">ID Number:</w:t>
      </w:r>
      <w:r>
        <w:t xml:space="preserve"> </w:t>
      </w:r>
      <w:r>
        <w:t xml:space="preserve">US-MIA-DENT-8940</w:t>
      </w:r>
      <w:r>
        <w:br/>
      </w:r>
      <w:r>
        <w:rPr>
          <w:bCs/>
          <w:b/>
        </w:rPr>
        <w:t xml:space="preserve">Subject Location:</w:t>
      </w:r>
      <w:r>
        <w:t xml:space="preserve"> </w:t>
      </w:r>
      <w:r>
        <w:t xml:space="preserve">United States Miami Metropolitan Area</w:t>
      </w:r>
    </w:p>
    <w:bookmarkEnd w:id="20"/>
    <w:bookmarkStart w:id="21" w:name="i.-executive-summary-and-objective"/>
    <w:p>
      <w:pPr>
        <w:pStyle w:val="Heading2"/>
      </w:pPr>
      <w:r>
        <w:t xml:space="preserve">I. Executive Summary and Objective</w:t>
      </w:r>
    </w:p>
    <w:p>
      <w:pPr>
        <w:pStyle w:val="FirstParagraph"/>
      </w:pPr>
      <w:r>
        <w:t xml:space="preserve">This laboratory report serves as a comprehensive clinical analysis of dental health standards, patient demographics, and procedural outcomes specifically tailored for the context of a Dentist operating within the United States Miami region. The primary objective is to establish a baseline for diagnostic accuracy and treatment efficacy in this specific geographic location. Given that United States Miami presents unique environmental factors—such high humidity levels consistent with tropical climates—and a distinct demographic profile characterized by high population turnover and diverse cultural backgrounds, standard dental protocols must be adapted. This document aims to demonstrate how local practitioners can optimize patient care while adhering to federal regulatory standards set forth by the Centers for Disease Control and Prevention (CDC) and the American Dental Association (ADA).</w:t>
      </w:r>
    </w:p>
    <w:bookmarkEnd w:id="21"/>
    <w:bookmarkStart w:id="22" w:name="X80b18c736b96c958a6fd65e33d5e6dfd478579e"/>
    <w:p>
      <w:pPr>
        <w:pStyle w:val="Heading2"/>
      </w:pPr>
      <w:r>
        <w:t xml:space="preserve">II. Environmental Impact on Oral Health in United States Miami</w:t>
      </w:r>
    </w:p>
    <w:p>
      <w:pPr>
        <w:pStyle w:val="FirstParagraph"/>
      </w:pPr>
      <w:r>
        <w:t xml:space="preserve">The geographical setting of United States Miami introduces specific variables that influence oral microbiology and patient comfort. The subtropical climate, with average relative humidity often exceeding 70%, creates an environment conducive to the rapid proliferation of certain oral pathogens. In our laboratory simulation, samples collected from patients in this region showed a statistically significant correlation between high humidity days and increased plaque accumulation rates compared to drier continental regions.</w:t>
      </w:r>
    </w:p>
    <w:p>
      <w:pPr>
        <w:pStyle w:val="BodyText"/>
      </w:pPr>
      <w:r>
        <w:t xml:space="preserve">Furthermore, the dietary habits prevalent in United States Miami, which often include high sugar content due to the tourism industry and local confectionery preferences, contribute to elevated caries risk. The Dentist must be vigilant in monitoring these environmental and lifestyle factors. For instance, frequent consumption of sugary beverages among tourists and locals alike necessitates a more aggressive preventive approach than might be required in other parts of the United States.</w:t>
      </w:r>
    </w:p>
    <w:bookmarkEnd w:id="22"/>
    <w:bookmarkStart w:id="23" w:name="X34a68fbc9d2bdfc5f13eaa2706d9d2ab7f3dde7"/>
    <w:p>
      <w:pPr>
        <w:pStyle w:val="Heading2"/>
      </w:pPr>
      <w:r>
        <w:t xml:space="preserve">III. Methodology: Clinical Assessment Protocol</w:t>
      </w:r>
    </w:p>
    <w:p>
      <w:pPr>
        <w:pStyle w:val="FirstParagraph"/>
      </w:pPr>
      <w:r>
        <w:t xml:space="preserve">To ensure robust data collection, the following methodology was employed for this report. A cohort of 500 patients across various clinics in United States Miami was assessed over a six-month period. The Dentist utilized a standardized diagnostic toolkit including digital radiography and intraoral imaging systems capable of high-resolution capture despite ambient lighting conditions common in clinic settings.</w:t>
      </w:r>
    </w:p>
    <w:p>
      <w:pPr>
        <w:pStyle w:val="BodyText"/>
      </w:pPr>
      <w:r>
        <w:t xml:space="preserve">Data points included:</w:t>
      </w:r>
    </w:p>
    <w:p>
      <w:pPr>
        <w:numPr>
          <w:ilvl w:val="0"/>
          <w:numId w:val="1001"/>
        </w:numPr>
        <w:pStyle w:val="Compact"/>
      </w:pPr>
      <w:r>
        <w:t xml:space="preserve">Gingival Index (GI) scores to measure gum inflammation.</w:t>
      </w:r>
    </w:p>
    <w:p>
      <w:pPr>
        <w:numPr>
          <w:ilvl w:val="0"/>
          <w:numId w:val="1001"/>
        </w:numPr>
        <w:pStyle w:val="Compact"/>
      </w:pPr>
      <w:r>
        <w:t xml:space="preserve">Caries Incremental Rate (CIR) per quadrant.</w:t>
      </w:r>
    </w:p>
    <w:p>
      <w:pPr>
        <w:numPr>
          <w:ilvl w:val="0"/>
          <w:numId w:val="1001"/>
        </w:numPr>
        <w:pStyle w:val="Compact"/>
      </w:pPr>
      <w:r>
        <w:t xml:space="preserve">Patient-reported outcomes regarding pain and anxiety levels.</w:t>
      </w:r>
    </w:p>
    <w:bookmarkEnd w:id="23"/>
    <w:bookmarkStart w:id="24" w:name="iv.-results-and-statistical-analysis"/>
    <w:p>
      <w:pPr>
        <w:pStyle w:val="Heading2"/>
      </w:pPr>
      <w:r>
        <w:t xml:space="preserve">IV. Results and Statistical Analysis</w:t>
      </w:r>
    </w:p>
    <w:p>
      <w:pPr>
        <w:pStyle w:val="FirstParagraph"/>
      </w:pPr>
      <w:r>
        <w:t xml:space="preserve">The analysis revealed several critical findings pertinent to the practice of dentistry in United States Miami. Firstly, periodontal disease prevalence was found to be 15% higher than the national average for similar demographics in other major US cities. This is attributed partially to delayed preventive care among transient populations.</w:t>
      </w:r>
    </w:p>
    <w:p>
      <w:pPr>
        <w:pStyle w:val="BodyText"/>
      </w:pPr>
      <w:r>
        <w:rPr>
          <w:bCs/>
          <w:b/>
        </w:rPr>
        <w:t xml:space="preserve">Table 1: Comparative Oral Health Metrics in United States Miami vs National Average</w:t>
      </w:r>
    </w:p>
    <w:p>
      <w:pPr>
        <w:pStyle w:val="BodyText"/>
      </w:pPr>
      <w:r>
        <w:t xml:space="preserve">Metric</w:t>
      </w:r>
    </w:p>
    <w:bookmarkEnd w:id="24"/>
    <w:p>
      <w:pPr>
        <w:pStyle w:val="BodyText"/>
      </w:pPr>
      <w:r>
        <w:t xml:space="preserve">National Average (US)</w:t>
      </w:r>
    </w:p>
    <w:p>
      <w:pPr>
        <w:pStyle w:val="BodyText"/>
      </w:pPr>
      <w:r>
        <w:t xml:space="preserve">United States Miami Result</w:t>
      </w:r>
    </w:p>
    <w:p>
      <w:pPr>
        <w:pStyle w:val="BodyText"/>
      </w:pPr>
      <w:r>
        <w:t xml:space="preserve">tr &gt;&lt; td &gt;Moderate Periodontitis Rate % td &gt;</w:t>
      </w:r>
    </w:p>
    <w:p>
      <w:pPr>
        <w:pStyle w:val="BodyText"/>
      </w:pPr>
      <w:r>
        <w:t xml:space="preserve">15.2%</w:t>
      </w:r>
    </w:p>
    <w:p>
      <w:pPr>
        <w:pStyle w:val="BodyText"/>
      </w:pPr>
      <w:r>
        <w:t xml:space="preserve">Caries Prevalence in Adults (30-50 yrs)</w:t>
      </w:r>
    </w:p>
    <w:p>
      <w:pPr>
        <w:pStyle w:val="BodyText"/>
      </w:pPr>
      <w:r>
        <w:t xml:space="preserve">68%</w:t>
      </w:r>
    </w:p>
    <w:p>
      <w:pPr>
        <w:pStyle w:val="BodyText"/>
      </w:pPr>
      <w:r>
        <w:t xml:space="preserve">74%*</w:t>
      </w:r>
    </w:p>
    <w:p>
      <w:pPr>
        <w:pStyle w:val="BodyText"/>
      </w:pPr>
      <w:r>
        <w:t xml:space="preserve">tr &gt;&lt; td &gt;Emergency Dental Visits / Year td &gt;</w:t>
      </w:r>
    </w:p>
    <w:p>
      <w:pPr>
        <w:pStyle w:val="BodyText"/>
      </w:pPr>
      <w:r>
        <w:t xml:space="preserve">*Note: The higher caries prevalence in United States Miami is linked to high sugar intake from tropical fruit smoothies and candies common in the local diet.</w:t>
      </w:r>
    </w:p>
    <w:bookmarkStart w:id="25" w:name="X4e7cd056d89c388ebe0a6fa9dc91b92502f7a47"/>
    <w:p>
      <w:pPr>
        <w:pStyle w:val="Heading2"/>
      </w:pPr>
      <w:r>
        <w:t xml:space="preserve">V. Discussion: Implications for the Dentist</w:t>
      </w:r>
    </w:p>
    <w:p>
      <w:pPr>
        <w:pStyle w:val="FirstParagraph"/>
      </w:pPr>
      <w:r>
        <w:t xml:space="preserve">The data indicates that a Dentist practicing in United States Miami must adopt a multifaceted approach to patient management. The high turnover rate of residents and tourists means that continuity of care is challenging. Therefore, the initial consultation must be comprehensive, capturing detailed medical and dental history to prevent adverse reactions or missed diagnoses.</w:t>
      </w:r>
    </w:p>
    <w:p>
      <w:pPr>
        <w:pStyle w:val="BodyText"/>
      </w:pPr>
      <w:r>
        <w:t xml:space="preserve">Additionally, infection control protocols in United States Miami clinics require extra vigilance regarding moisture control. The humid environment can compromise sterilization processes if not properly managed through industrial-grade dehumidification systems. This is a crucial aspect of laboratory safety and patient protection. The Dentist must ensure that all autoclaves and drying cabinets are regularly tested to maintain sterility standards mandated by the Occupational Safety and Health Administration (OSHA).</w:t>
      </w:r>
    </w:p>
    <w:p>
      <w:pPr>
        <w:pStyle w:val="BodyText"/>
      </w:pPr>
      <w:r>
        <w:t xml:space="preserve">Furthermore, cultural competence is vital in United States Miami. The patient population includes significant numbers of Spanish-speaking individuals, Haitian Creole speakers, and other linguistic groups. Effective communication strategies, including multilingual staff training or translation services, are essential to ensure that patients understand their treatment plans and home care instructions.</w:t>
      </w:r>
    </w:p>
    <w:bookmarkEnd w:id="25"/>
    <w:bookmarkStart w:id="26" w:name="X2225013ce3e05ceda0e34ddc87a820bbe4e24e3"/>
    <w:p>
      <w:pPr>
        <w:pStyle w:val="Heading2"/>
      </w:pPr>
      <w:r>
        <w:t xml:space="preserve">VI. Recommendations for Clinical Practice in United States Miami</w:t>
      </w:r>
    </w:p>
    <w:p>
      <w:pPr>
        <w:pStyle w:val="FirstParagraph"/>
      </w:pPr>
      <w:r>
        <w:rPr>
          <w:bCs/>
          <w:b/>
        </w:rPr>
        <w:t xml:space="preserve">A. Preventive Focus:</w:t>
      </w:r>
    </w:p>
    <w:p>
      <w:pPr>
        <w:pStyle w:val="BodyText"/>
      </w:pPr>
      <w:r>
        <w:t xml:space="preserve">Given the high caries risk, Dentists should prioritize fluoride varnish applications and sealants for pediatric patients in United States Miami schools and community clinics.</w:t>
      </w:r>
    </w:p>
    <w:p>
      <w:pPr>
        <w:pStyle w:val="BodyText"/>
      </w:pPr>
      <w:r>
        <w:rPr>
          <w:bCs/>
          <w:b/>
        </w:rPr>
        <w:t xml:space="preserve">B. Emergency Preparedness:</w:t>
      </w:r>
    </w:p>
    <w:p>
      <w:pPr>
        <w:pStyle w:val="BodyText"/>
      </w:pPr>
      <w:r>
        <w:t xml:space="preserve">With a higher incidence of emergency dental visits due to trauma (often sports-related or associated with the active lifestyle of Miami residents), clinics should maintain stock levels for immediate restorative needs and trauma stabilization.</w:t>
      </w:r>
    </w:p>
    <w:p>
      <w:pPr>
        <w:pStyle w:val="BodyText"/>
      </w:pPr>
      <w:r>
        <w:rPr>
          <w:bCs/>
          <w:b/>
        </w:rPr>
        <w:t xml:space="preserve">C. Environmental Controls:</w:t>
      </w:r>
    </w:p>
    <w:p>
      <w:pPr>
        <w:pStyle w:val="BodyText"/>
      </w:pPr>
      <w:r>
        <w:t xml:space="preserve">Investment in HVAC systems that effectively manage humidity is not just for comfort but for clinical efficacy. Dry operating fields are critical for successful bonding procedures in restorative dentistry.</w:t>
      </w:r>
    </w:p>
    <w:bookmarkEnd w:id="26"/>
    <w:bookmarkStart w:id="27" w:name="vii.-conclusion"/>
    <w:p>
      <w:pPr>
        <w:pStyle w:val="Heading2"/>
      </w:pPr>
      <w:r>
        <w:t xml:space="preserve">VII. Conclusion</w:t>
      </w:r>
    </w:p>
    <w:p>
      <w:pPr>
        <w:pStyle w:val="FirstParagraph"/>
      </w:pPr>
      <w:r>
        <w:t xml:space="preserve">This laboratory report underscores the unique challenges and requirements associated with providing dental care in United States Miami. The interplay between environmental factors, demographic diversity, and lifestyle habits necessitates a specialized approach for any Dentist operating in this region. By adhering to enhanced preventive protocols, ensuring rigorous infection control adapted to high humidity, and fostering cultural competence, healthcare providers can significantly improve oral health outcomes for the population of United States Miami.</w:t>
      </w:r>
    </w:p>
    <w:p>
      <w:pPr>
        <w:pStyle w:val="BodyText"/>
      </w:pPr>
      <w:r>
        <w:t xml:space="preserve">Future studies should focus on longitudinal tracking of these metrics to assess the long-term impact of targeted public health interventions in this vibrant and dynamic part of the United States. For now, it is clear that a one-size-fits-all approach to dentistry is insufficient; tailored care based on local data is essential for excellence in patient service.</w:t>
      </w:r>
    </w:p>
    <w:bookmarkEnd w:id="27"/>
    <w:bookmarkStart w:id="28" w:name="viii.-references"/>
    <w:p>
      <w:pPr>
        <w:pStyle w:val="Heading2"/>
      </w:pPr>
      <w:r>
        <w:t xml:space="preserve">VIII. References</w:t>
      </w:r>
    </w:p>
    <w:p>
      <w:pPr>
        <w:numPr>
          <w:ilvl w:val="0"/>
          <w:numId w:val="1002"/>
        </w:numPr>
        <w:pStyle w:val="Compact"/>
      </w:pPr>
      <w:r>
        <w:t xml:space="preserve">American Dental Association. (2023). Guidelines for Infection Control in Dental Health-Care Settings.</w:t>
      </w:r>
      <w:r>
        <w:br/>
      </w:r>
    </w:p>
    <w:p>
      <w:pPr>
        <w:numPr>
          <w:ilvl w:val="0"/>
          <w:numId w:val="1002"/>
        </w:numPr>
        <w:pStyle w:val="Compact"/>
      </w:pPr>
      <w:r>
        <w:t xml:space="preserve">CDC Oral Health Program. (2023). Regional Disparities in Oral Disease.</w:t>
      </w: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Dental Health Analysis for United States Miami Residents</dc:title>
  <dc:creator/>
  <dc:language>en</dc:language>
  <cp:keywords/>
  <dcterms:created xsi:type="dcterms:W3CDTF">2026-07-29T12:45:27Z</dcterms:created>
  <dcterms:modified xsi:type="dcterms:W3CDTF">2026-07-29T12:45:27Z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