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Dental</w:t>
      </w:r>
      <w:r>
        <w:t xml:space="preserve"> </w:t>
      </w:r>
      <w:r>
        <w:t xml:space="preserve">Health</w:t>
      </w:r>
      <w:r>
        <w:t xml:space="preserve"> </w:t>
      </w:r>
      <w:r>
        <w:t xml:space="preserve">Assessment</w:t>
      </w:r>
    </w:p>
    <w:bookmarkStart w:id="28" w:name="clinical-laboratory-report"/>
    <w:p>
      <w:pPr>
        <w:pStyle w:val="Heading1"/>
      </w:pPr>
      <w:r>
        <w:t xml:space="preserve">Clinical Laboratory Report</w:t>
      </w:r>
    </w:p>
    <w:p>
      <w:pPr>
        <w:pStyle w:val="FirstParagraph"/>
      </w:pPr>
      <w:r>
        <w:t xml:space="preserve">Patient ID:</w:t>
      </w:r>
      <w:r>
        <w:t xml:space="preserve"> </w:t>
      </w:r>
      <w:r>
        <w:t xml:space="preserve">SF-DENT-2023-894</w:t>
      </w:r>
      <w:r>
        <w:br/>
      </w:r>
      <w:r>
        <w:t xml:space="preserve">Date of Examination:</w:t>
      </w:r>
      <w:r>
        <w:t xml:space="preserve"> </w:t>
      </w:r>
      <w:r>
        <w:t xml:space="preserve">October 14, 2023</w:t>
      </w:r>
      <w:r>
        <w:br/>
      </w:r>
      <w:r>
        <w:t xml:space="preserve">Location:</w:t>
      </w:r>
      <w:r>
        <w:rPr>
          <w:iCs/>
          <w:i/>
          <w:bCs/>
          <w:b/>
        </w:rPr>
        <w:t xml:space="preserve">United States San Francisco</w:t>
      </w:r>
      <w:r>
        <w:t xml:space="preserve">, CA</w:t>
      </w:r>
      <w:r>
        <w:br/>
      </w:r>
    </w:p>
    <w:p>
      <w:pPr>
        <w:pStyle w:val="BodyText"/>
      </w:pPr>
      <w:r>
        <w:t xml:space="preserve">Attending Professional:</w:t>
      </w:r>
      <w:r>
        <w:br/>
      </w:r>
      <w:r>
        <w:t xml:space="preserve">J. Smith, DDS, MSD</w:t>
      </w:r>
      <w:r>
        <w:br/>
      </w:r>
    </w:p>
    <w:p>
      <w:pPr>
        <w:pStyle w:val="BodyText"/>
      </w:pPr>
      <w:r>
        <w:rPr>
          <w:bCs/>
          <w:b/>
        </w:rPr>
        <w:t xml:space="preserve">Type of Report:</w:t>
      </w:r>
      <w:r>
        <w:t xml:space="preserve">: Comprehensive Dental and Periodontal Analysis</w:t>
      </w:r>
    </w:p>
    <w:bookmarkStart w:id="20" w:name="abstract"/>
    <w:p>
      <w:pPr>
        <w:pStyle w:val="Heading2"/>
      </w:pPr>
      <w:r>
        <w:t xml:space="preserve">1. Abstract</w:t>
      </w:r>
    </w:p>
    <w:p>
      <w:pPr>
        <w:pStyle w:val="FirstParagraph"/>
      </w:pPr>
      <w:r>
        <w:t xml:space="preserve">The present document serves as a formal laboratory report detailing the clinical findings, diagnostic imaging results, and subsequent treatment planning for a patient undergoing routine yet comprehensive dental evaluation. This assessment is situated within the unique epidemiological and healthcare landscape of the</w:t>
      </w:r>
      <w:r>
        <w:t xml:space="preserve"> </w:t>
      </w:r>
      <w:r>
        <w:rPr>
          <w:iCs/>
          <w:i/>
          <w:bCs/>
          <w:b/>
        </w:rPr>
        <w:t xml:space="preserve">United States San Francisco</w:t>
      </w:r>
      <w:r>
        <w:t xml:space="preserve"> </w:t>
      </w:r>
      <w:r>
        <w:t xml:space="preserve">region. Given the high prevalence of specific oral health challenges in this metropolitan area, including variations in fluoride availability and dietary habits common to urban centers, this report aims to provide a rigorous analysis of oral pathology potential. The primary objective is to establish a baseline for periodontal health and enamel integrity, ensuring that preventive measures align with the advanced standards expected in healthcare facilities across the</w:t>
      </w:r>
      <w:r>
        <w:t xml:space="preserve"> </w:t>
      </w:r>
      <w:r>
        <w:rPr>
          <w:iCs/>
          <w:i/>
          <w:bCs/>
          <w:b/>
        </w:rPr>
        <w:t xml:space="preserve">United States San Francisco</w:t>
      </w:r>
      <w:r>
        <w:t xml:space="preserve"> </w:t>
      </w:r>
      <w:r>
        <w:t xml:space="preserve">jurisdiction.</w:t>
      </w:r>
    </w:p>
    <w:bookmarkEnd w:id="20"/>
    <w:bookmarkStart w:id="21" w:name="introduction"/>
    <w:p>
      <w:pPr>
        <w:pStyle w:val="Heading2"/>
      </w:pPr>
      <w:r>
        <w:t xml:space="preserve">2. Introduction</w:t>
      </w:r>
    </w:p>
    <w:p>
      <w:pPr>
        <w:pStyle w:val="FirstParagraph"/>
      </w:pPr>
      <w:r>
        <w:t xml:space="preserve">Dental health is an integral component of systemic health, influencing overall well-being and quality of life. In the context of the</w:t>
      </w:r>
      <w:r>
        <w:t xml:space="preserve"> </w:t>
      </w:r>
      <w:r>
        <w:rPr>
          <w:iCs/>
          <w:i/>
          <w:bCs/>
          <w:b/>
        </w:rPr>
        <w:t xml:space="preserve">Dentist</w:t>
      </w:r>
      <w:r>
        <w:t xml:space="preserve">-patient relationship within major metropolitan hubs like San Francisco, the complexity of cases often increases due to diverse demographic factors and access to specialized care. This report outlines the procedural steps taken during a standard laboratory-style clinical assessment performed by a licensed</w:t>
      </w:r>
      <w:r>
        <w:t xml:space="preserve"> </w:t>
      </w:r>
      <w:r>
        <w:rPr>
          <w:iCs/>
          <w:i/>
          <w:bCs/>
          <w:b/>
        </w:rPr>
        <w:t xml:space="preserve">Dentist</w:t>
      </w:r>
      <w:r>
        <w:t xml:space="preserve">. The specific geographical context of</w:t>
      </w:r>
      <w:r>
        <w:t xml:space="preserve"> </w:t>
      </w:r>
      <w:r>
        <w:rPr>
          <w:iCs/>
          <w:i/>
          <w:bCs/>
          <w:b/>
        </w:rPr>
        <w:t xml:space="preserve">United States San Francisco</w:t>
      </w:r>
      <w:r>
        <w:t xml:space="preserve"> </w:t>
      </w:r>
      <w:r>
        <w:t xml:space="preserve">is critical, as local public health initiatives regarding water fluoridation and oral cancer screening rates differ from national averages. Therefore, the findings herein are contextualized within these regional health metrics to ensure accurate diagnostic interpretation.</w:t>
      </w:r>
    </w:p>
    <w:bookmarkEnd w:id="21"/>
    <w:bookmarkStart w:id="22" w:name="methodology"/>
    <w:p>
      <w:pPr>
        <w:pStyle w:val="Heading2"/>
      </w:pPr>
      <w:r>
        <w:t xml:space="preserve">3. Methodology</w:t>
      </w:r>
    </w:p>
    <w:p>
      <w:pPr>
        <w:pStyle w:val="FirstParagraph"/>
      </w:pPr>
      <w:r>
        <w:t xml:space="preserve">The following procedures were employed during this clinical evaluation, adhering strictly to the protocols established by the American Dental Association and local health regulations in San Francisco:</w:t>
      </w:r>
    </w:p>
    <w:p>
      <w:pPr>
        <w:numPr>
          <w:ilvl w:val="0"/>
          <w:numId w:val="1001"/>
        </w:numPr>
        <w:pStyle w:val="Compact"/>
      </w:pPr>
      <w:r>
        <w:rPr>
          <w:bCs/>
          <w:b/>
        </w:rPr>
        <w:t xml:space="preserve">Clinical Examination:</w:t>
      </w:r>
      <w:r>
        <w:t xml:space="preserve"> </w:t>
      </w:r>
      <w:r>
        <w:t xml:space="preserve">A thorough extraoral and intraoral inspection was conducted using standard dental mirrors, explorers, and periodontal probes. Special attention was paid to soft tissue lesions, which is a priority for oral pathology screening in the high-stress environment of the city.</w:t>
      </w:r>
    </w:p>
    <w:p>
      <w:pPr>
        <w:numPr>
          <w:ilvl w:val="0"/>
          <w:numId w:val="1001"/>
        </w:numPr>
        <w:pStyle w:val="Compact"/>
      </w:pPr>
      <w:r>
        <w:rPr>
          <w:bCs/>
          <w:b/>
        </w:rPr>
        <w:t xml:space="preserve">Radiographic Imaging:</w:t>
      </w:r>
      <w:r>
        <w:t xml:space="preserve"> </w:t>
      </w:r>
      <w:r>
        <w:t xml:space="preserve">A full mouth series of periapical radiographs and bitewing images were obtained using digital sensors. This low-radiation technique allows for detailed analysis of interproximal bone levels and carious lesions.</w:t>
      </w:r>
    </w:p>
    <w:p>
      <w:pPr>
        <w:numPr>
          <w:ilvl w:val="0"/>
          <w:numId w:val="1001"/>
        </w:numPr>
        <w:pStyle w:val="Compact"/>
      </w:pPr>
      <w:r>
        <w:rPr>
          <w:bCs/>
          <w:b/>
        </w:rPr>
        <w:t xml:space="preserve">Caries Indexing:</w:t>
      </w:r>
      <w:r>
        <w:t xml:space="preserve">The DMFT (Decayed, Missing, Filled Teeth) index was calculated to assess the patient's history of dental disease. Given the specific demographics often found in</w:t>
      </w:r>
      <w:r>
        <w:t xml:space="preserve"> </w:t>
      </w:r>
      <w:r>
        <w:rPr>
          <w:iCs/>
          <w:i/>
          <w:bCs/>
          <w:b/>
        </w:rPr>
        <w:t xml:space="preserve">United States San Francisco</w:t>
      </w:r>
      <w:r>
        <w:t xml:space="preserve">, dietary analysis focused on high-sugar consumption associated with urban lifestyle factors.</w:t>
      </w:r>
    </w:p>
    <w:p>
      <w:pPr>
        <w:numPr>
          <w:ilvl w:val="0"/>
          <w:numId w:val="1001"/>
        </w:numPr>
        <w:pStyle w:val="Compact"/>
      </w:pPr>
      <w:r>
        <w:rPr>
          <w:bCs/>
          <w:b/>
        </w:rPr>
        <w:t xml:space="preserve">Micobial Analysis:</w:t>
      </w:r>
      <w:r>
        <w:t xml:space="preserve">In cases where indicated, plaque samples were taken for bacterial culture to identify specific pathogens such as *Streptococcus mutans* and *Porphyromonas gingivalis*.</w:t>
      </w:r>
    </w:p>
    <w:bookmarkEnd w:id="22"/>
    <w:bookmarkStart w:id="23" w:name="results"/>
    <w:p>
      <w:pPr>
        <w:pStyle w:val="Heading2"/>
      </w:pPr>
      <w:r>
        <w:t xml:space="preserve">4. Results</w:t>
      </w:r>
    </w:p>
    <w:p>
      <w:pPr>
        <w:pStyle w:val="FirstParagraph"/>
      </w:pPr>
      <w:r>
        <w:t xml:space="preserve">Metric</w:t>
      </w:r>
    </w:p>
    <w:bookmarkEnd w:id="23"/>
    <w:p>
      <w:pPr>
        <w:pStyle w:val="BodyText"/>
      </w:pPr>
      <w:r>
        <w:t xml:space="preserve">Finding</w:t>
      </w:r>
    </w:p>
    <w:bookmarkStart w:id="25" w:name="discussion"/>
    <w:bookmarkStart w:id="24" w:name="discussion-and-analysis"/>
    <w:p>
      <w:pPr>
        <w:pStyle w:val="Heading2"/>
      </w:pPr>
      <w:r>
        <w:t xml:space="preserve">5. Discussion and Analysis</w:t>
      </w:r>
    </w:p>
    <w:p>
      <w:pPr>
        <w:pStyle w:val="FirstParagraph"/>
      </w:pPr>
      <w:r>
        <w:t xml:space="preserve">The results indicate a stable periodontal status with minimal bleeding on probing, suggesting effective home care routines. However, the presence of early enamel demineralization on tooth #30 necessitates immediate intervention to prevent progression into frank caries. This finding is not uncommon in the</w:t>
      </w:r>
      <w:r>
        <w:t xml:space="preserve"> </w:t>
      </w:r>
      <w:r>
        <w:rPr>
          <w:iCs/>
          <w:i/>
          <w:bCs/>
          <w:b/>
        </w:rPr>
        <w:t xml:space="preserve">United States San Francisco</w:t>
      </w:r>
      <w:r>
        <w:t xml:space="preserve"> </w:t>
      </w:r>
      <w:r>
        <w:t xml:space="preserve">area, where access to sugary beverages and processed foods can be high due to the fast-paced lifestyle of residents.</w:t>
      </w:r>
      <w:r>
        <w:t xml:space="preserve"> </w:t>
      </w:r>
      <w:r>
        <w:t xml:space="preserve">The role of the</w:t>
      </w:r>
      <w:r>
        <w:t xml:space="preserve"> </w:t>
      </w:r>
      <w:r>
        <w:rPr>
          <w:iCs/>
          <w:i/>
          <w:bCs/>
          <w:b/>
        </w:rPr>
        <w:t xml:space="preserve">Dentist</w:t>
      </w:r>
      <w:r>
        <w:t xml:space="preserve"> </w:t>
      </w:r>
      <w:r>
        <w:t xml:space="preserve">here extends beyond mere restoration; it involves patient education regarding local water fluoridation benefits. San Francisco utilizes a consistent fluoride concentration in its municipal water supply, which significantly aids in remineralization. However, many patients remain unaware of this benefit or rely on bottled drinking alternatives for various lifestyle reasons, thereby reducing the protective effects against decay.</w:t>
      </w:r>
      <w:r>
        <w:t xml:space="preserve"> </w:t>
      </w:r>
      <w:r>
        <w:t xml:space="preserve">Furthermore, the radiographic evidence shows no signs of periapical abscesses or significant bone loss associated with advanced periodontitis. This is a positive indicator for long-term dental retention. The discussion also highlights the importance of regular check-ups in</w:t>
      </w:r>
      <w:r>
        <w:t xml:space="preserve"> </w:t>
      </w:r>
      <w:r>
        <w:rPr>
          <w:iCs/>
          <w:i/>
          <w:bCs/>
          <w:b/>
        </w:rPr>
        <w:t xml:space="preserve">United States San Francisco</w:t>
      </w:r>
      <w:r>
        <w:t xml:space="preserve">, where stress levels can contribute to bruxism (teeth grinding), leading to further enamel wear not immediately visible on visual inspection but apparent in the wear facets noted during the exam.</w:t>
      </w:r>
      <w:r>
        <w:t xml:space="preserve"> </w:t>
      </w:r>
      <w:r>
        <w:t xml:space="preserve">The integration of laboratory-style precision into clinical dentistry allows for objective tracking of oral health over time. By treating each patient visit as a data point in a longitudinal study, we can better predict and prevent future dental issues. This approach is particularly valuable in dense urban environments like</w:t>
      </w:r>
      <w:r>
        <w:t xml:space="preserve"> </w:t>
      </w:r>
      <w:r>
        <w:rPr>
          <w:iCs/>
          <w:i/>
          <w:bCs/>
          <w:b/>
        </w:rPr>
        <w:t xml:space="preserve">United States San Francisco</w:t>
      </w:r>
      <w:r>
        <w:t xml:space="preserve">, where socioeconomic disparities can affect oral health outcomes, making targeted preventive strategies essential.</w:t>
      </w:r>
    </w:p>
    <w:bookmarkEnd w:id="24"/>
    <w:bookmarkEnd w:id="25"/>
    <w:bookmarkStart w:id="27" w:name="conclusion"/>
    <w:bookmarkStart w:id="26" w:name="conclusion-and-recommendations"/>
    <w:p>
      <w:pPr>
        <w:pStyle w:val="Heading2"/>
      </w:pPr>
      <w:r>
        <w:t xml:space="preserve">6. Conclusion and Recommendations</w:t>
      </w:r>
    </w:p>
    <w:p>
      <w:pPr>
        <w:pStyle w:val="FirstParagraph"/>
      </w:pPr>
      <w:r>
        <w:t xml:space="preserve">Based on the comprehensive analysis conducted, it is concluded that the patient’s current oral health status is good, with minor areas of concern requiring prophylactic attention. The recommendations include:</w:t>
      </w:r>
    </w:p>
    <w:p>
      <w:pPr>
        <w:numPr>
          <w:ilvl w:val="0"/>
          <w:numId w:val="1002"/>
        </w:numPr>
        <w:pStyle w:val="Compact"/>
      </w:pPr>
      <w:r>
        <w:rPr>
          <w:bCs/>
          <w:b/>
        </w:rPr>
        <w:t xml:space="preserve">Semi-Annual Recall:</w:t>
      </w:r>
      <w:r>
        <w:t xml:space="preserve"> </w:t>
      </w:r>
      <w:r>
        <w:t xml:space="preserve">Continue standard six-month hygiene appointments to monitor periodontal stability.</w:t>
      </w:r>
    </w:p>
    <w:p>
      <w:pPr>
        <w:numPr>
          <w:ilvl w:val="0"/>
          <w:numId w:val="1002"/>
        </w:numPr>
        <w:pStyle w:val="Compact"/>
      </w:pPr>
      <w:r>
        <w:rPr>
          <w:bCs/>
          <w:b/>
        </w:rPr>
        <w:t xml:space="preserve">Fissure Sealants:</w:t>
      </w:r>
      <w:r>
        <w:t xml:space="preserve"> </w:t>
      </w:r>
      <w:r>
        <w:t xml:space="preserve">Consider application of sealants on posterior teeth to prevent pit and fissure caries, especially given the dietary habits prevalent in</w:t>
      </w:r>
      <w:r>
        <w:t xml:space="preserve"> </w:t>
      </w:r>
      <w:r>
        <w:rPr>
          <w:iCs/>
          <w:i/>
          <w:bCs/>
          <w:b/>
        </w:rPr>
        <w:t xml:space="preserve">United States San Francisco</w:t>
      </w:r>
      <w:r>
        <w:t xml:space="preserve">.</w:t>
      </w:r>
    </w:p>
    <w:p>
      <w:pPr>
        <w:numPr>
          <w:ilvl w:val="0"/>
          <w:numId w:val="1002"/>
        </w:numPr>
        <w:pStyle w:val="Compact"/>
      </w:pPr>
      <w:r>
        <w:t xml:space="preserve">Dietary Counseling:: Reduce frequency of acidic and sugary drink consumption.</w:t>
      </w:r>
    </w:p>
    <w:p>
      <w:pPr>
        <w:numPr>
          <w:ilvl w:val="0"/>
          <w:numId w:val="1002"/>
        </w:numPr>
        <w:pStyle w:val="Compact"/>
      </w:pPr>
      <w:r>
        <w:rPr>
          <w:bCs/>
          <w:b/>
        </w:rPr>
        <w:t xml:space="preserve">Night Guard:</w:t>
      </w:r>
      <w:r>
        <w:t xml:space="preserve">If bruxism is confirmed via further sleep study or patient report, a custom-fitted night guard should be fabricated to protect enamel from occlusal wear.</w:t>
      </w:r>
    </w:p>
    <w:p>
      <w:pPr>
        <w:pStyle w:val="FirstParagraph"/>
      </w:pPr>
      <w:r>
        <w:t xml:space="preserve">This laboratory report underscores the critical importance of integrating clinical data with regional health factors. The</w:t>
      </w:r>
      <w:r>
        <w:t xml:space="preserve"> </w:t>
      </w:r>
      <w:r>
        <w:rPr>
          <w:iCs/>
          <w:i/>
          <w:bCs/>
          <w:b/>
        </w:rPr>
        <w:t xml:space="preserve">Dentist</w:t>
      </w:r>
      <w:r>
        <w:t xml:space="preserve"> </w:t>
      </w:r>
      <w:r>
        <w:t xml:space="preserve">serves as both a clinician and an educator, leveraging local resources such as fluoridated water and public health campaigns to improve patient outcomes. In the vibrant healthcare ecosystem of</w:t>
      </w:r>
      <w:r>
        <w:t xml:space="preserve"> </w:t>
      </w:r>
      <w:r>
        <w:rPr>
          <w:iCs/>
          <w:i/>
          <w:bCs/>
          <w:b/>
        </w:rPr>
        <w:t xml:space="preserve">United States San Francisco</w:t>
      </w:r>
      <w:r>
        <w:t xml:space="preserve">, maintaining high standards of documentation and clinical rigor is not just a regulatory requirement but a moral imperative for ensuring optimal oral health for all residents.</w:t>
      </w:r>
    </w:p>
    <w:bookmarkEnd w:id="26"/>
    <w:bookmarkEnd w:id="27"/>
    <w:p>
      <w:pPr>
        <w:pStyle w:val="BodyText"/>
      </w:pPr>
      <w:r>
        <w:t xml:space="preserve">This document was generated in compliance with HIPAA regulations and local health codes applicable to dental practices in the United States San Francisco region.</w:t>
      </w:r>
    </w:p>
    <w:p>
      <w:pPr>
        <w:pStyle w:val="BodyText"/>
      </w:pPr>
      <w:r>
        <w:t xml:space="preserve">© 2023 Dental Laboratory Services.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Dental Health Assessment</dc:title>
  <dc:creator/>
  <dc:language>en</dc:language>
  <cp:keywords/>
  <dcterms:created xsi:type="dcterms:W3CDTF">2026-07-29T16:19:10Z</dcterms:created>
  <dcterms:modified xsi:type="dcterms:W3CDTF">2026-07-29T16:19:10Z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