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Protocol:</w:t>
      </w:r>
      <w:r>
        <w:t xml:space="preserve"> </w:t>
      </w:r>
      <w:r>
        <w:t xml:space="preserve">A</w:t>
      </w:r>
      <w:r>
        <w:t xml:space="preserve"> </w:t>
      </w:r>
      <w:r>
        <w:t xml:space="preserve">Dietitian</w:t>
      </w:r>
      <w:r>
        <w:t xml:space="preserve"> </w:t>
      </w:r>
      <w:r>
        <w:t xml:space="preserve">Case</w:t>
      </w:r>
      <w:r>
        <w:t xml:space="preserve"> </w:t>
      </w:r>
      <w:r>
        <w:t xml:space="preserve">Study</w:t>
      </w:r>
      <w:r>
        <w:t xml:space="preserve"> </w:t>
      </w:r>
      <w:r>
        <w:t xml:space="preserve">in</w:t>
      </w:r>
      <w:r>
        <w:t xml:space="preserve"> </w:t>
      </w:r>
      <w:r>
        <w:t xml:space="preserve">Australia</w:t>
      </w:r>
      <w:r>
        <w:t xml:space="preserve"> </w:t>
      </w:r>
      <w:r>
        <w:t xml:space="preserve">Melbourne</w:t>
      </w:r>
    </w:p>
    <w:bookmarkStart w:id="30" w:name="Xc31e052428374c9057bbd6c70909062def937cf"/>
    <w:p>
      <w:pPr>
        <w:pStyle w:val="Heading1"/>
      </w:pPr>
      <w:r>
        <w:t xml:space="preserve">Laboratory Report: Nutritional Status and Dietary Intervention Analysis</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Patient ID:</w:t>
      </w:r>
      <w:r>
        <w:t xml:space="preserve"> </w:t>
      </w:r>
      <w:r>
        <w:t xml:space="preserve">MEL-9948-XC</w:t>
      </w:r>
      <w:r>
        <w:br/>
      </w:r>
    </w:p>
    <w:p>
      <w:pPr>
        <w:pStyle w:val="BodyText"/>
      </w:pPr>
      <w:r>
        <w:t xml:space="preserve">Treating Professional:Sarah Jenkins, Accredited Practising Dietitian (APD)</w:t>
      </w:r>
      <w:r>
        <w:br/>
      </w:r>
    </w:p>
    <w:p>
      <w:pPr>
        <w:pStyle w:val="BodyText"/>
      </w:pPr>
      <w:r>
        <w:br/>
      </w:r>
      <w:r>
        <w:t xml:space="preserve">&gt;</w:t>
      </w:r>
    </w:p>
    <w:p>
      <w:pPr>
        <w:pStyle w:val="BodyText"/>
      </w:pPr>
      <w:r>
        <w:t xml:space="preserve">This document serves as a comprehensive laboratory report detailing the clinical assessment, diagnostic interpretation of biochemical markers, and subsequent dietary prescription for Patient MEL-9948-XC. The scope of this report is strictly confined within the regulatory and healthcare frameworks of</w:t>
      </w:r>
      <w:r>
        <w:t xml:space="preserve"> </w:t>
      </w:r>
      <w:r>
        <w:rPr>
          <w:bCs/>
          <w:b/>
        </w:rPr>
        <w:t xml:space="preserve">Australia Melbourne</w:t>
      </w:r>
      <w:r>
        <w:t xml:space="preserve">, ensuring adherence to national guidelines established by Health Canada equivalents such as NHMRC (National Health and Medical Research Council) standards. The primary objective is to demonstrate the efficacy of a structured</w:t>
      </w:r>
      <w:r>
        <w:t xml:space="preserve"> </w:t>
      </w:r>
      <w:r>
        <w:rPr>
          <w:bCs/>
          <w:b/>
        </w:rPr>
        <w:t xml:space="preserve">Dietitian</w:t>
      </w:r>
      <w:r>
        <w:t xml:space="preserve"> </w:t>
      </w:r>
      <w:r>
        <w:t xml:space="preserve">led intervention in managing metabolic syndrome components, specifically type 2 diabetes risk factors, within an urban Australian context.</w:t>
      </w:r>
    </w:p>
    <w:bookmarkStart w:id="20" w:name="executive-summary"/>
    <w:p>
      <w:pPr>
        <w:pStyle w:val="Heading2"/>
      </w:pPr>
      <w:r>
        <w:t xml:space="preserve">1. Executive Summary</w:t>
      </w:r>
    </w:p>
    <w:p>
      <w:pPr>
        <w:pStyle w:val="FirstParagraph"/>
      </w:pPr>
      <w:r>
        <w:t xml:space="preserve">The subject of this laboratory report is a 54-year-old male presenting with early-stage insulin resistance and hypertension. The clinical environment selected for this study is</w:t>
      </w:r>
      <w:r>
        <w:t xml:space="preserve"> </w:t>
      </w:r>
      <w:r>
        <w:rPr>
          <w:bCs/>
          <w:b/>
        </w:rPr>
        <w:t xml:space="preserve">Australia Melbourne</w:t>
      </w:r>
      <w:r>
        <w:t xml:space="preserve">, a region known for its high prevalence of sedentary urban lifestyles and specific dietary patterns influenced by multicultural food availability. The role of the registered</w:t>
      </w:r>
      <w:r>
        <w:t xml:space="preserve"> </w:t>
      </w:r>
      <w:r>
        <w:rPr>
          <w:bCs/>
          <w:b/>
        </w:rPr>
        <w:t xml:space="preserve">Dietitian</w:t>
      </w:r>
      <w:r>
        <w:t xml:space="preserve"> </w:t>
      </w:r>
      <w:r>
        <w:t xml:space="preserve">was central to interpreting complex biochemical data and translating it into actionable, culturally appropriate nutritional strategies. This report outlines the pre-intervention baseline, the analysis of laboratory results, and the projected outcomes of a twelve-week dietary modification program.</w:t>
      </w:r>
    </w:p>
    <w:bookmarkEnd w:id="20"/>
    <w:bookmarkStart w:id="21" w:name="X277e0c7b5c9c633c072c610a4238a5e08238ac7"/>
    <w:p>
      <w:pPr>
        <w:pStyle w:val="Heading2"/>
      </w:pPr>
      <w:r>
        <w:t xml:space="preserve">2. Patient Background and Clinical Context in Australia Melbourne</w:t>
      </w:r>
    </w:p>
    <w:p>
      <w:pPr>
        <w:pStyle w:val="FirstParagraph"/>
      </w:pPr>
      <w:r>
        <w:t xml:space="preserve">Patient MEL-9948-XC resides in a suburb within metropolitan</w:t>
      </w:r>
      <w:r>
        <w:t xml:space="preserve"> </w:t>
      </w:r>
      <w:r>
        <w:rPr>
          <w:bCs/>
          <w:b/>
        </w:rPr>
        <w:t xml:space="preserve">Australia Melbourne</w:t>
      </w:r>
      <w:r>
        <w:t xml:space="preserve">, an area characterized by high access to fresh produce yet paradoxically high consumption of processed foods due to fast-food density. The patient works a sedentary corporate role, which is statistically correlated with higher rates of cardiovascular disease in urban Australian populations. Prior to engaging professional services from an Accredited Practising Dietitian (APD), the patient’s self-reported diet consisted primarily of convenience foods, high glycemic index carbohydrates, and excessive sodium intake.</w:t>
      </w:r>
    </w:p>
    <w:p>
      <w:pPr>
        <w:pStyle w:val="BodyText"/>
      </w:pPr>
      <w:r>
        <w:t xml:space="preserve">The choice to involve a qualified</w:t>
      </w:r>
      <w:r>
        <w:t xml:space="preserve"> </w:t>
      </w:r>
      <w:r>
        <w:rPr>
          <w:bCs/>
          <w:b/>
        </w:rPr>
        <w:t xml:space="preserve">Dietitian</w:t>
      </w:r>
      <w:r>
        <w:t xml:space="preserve"> </w:t>
      </w:r>
      <w:r>
        <w:t xml:space="preserve">was mandated by general practitioner referral due to rising HbA1c levels. In the Australian healthcare system, the distinction between a "nutritionist" and an "Accredited Practising Dietitian" is legally significant. The APD credential ensures that the practitioner has met rigorous academic and clinical standards set by Dietitians Australia, providing evidence-based care that is often covered by private health insurance rebates in</w:t>
      </w:r>
      <w:r>
        <w:t xml:space="preserve"> </w:t>
      </w:r>
      <w:r>
        <w:rPr>
          <w:bCs/>
          <w:b/>
        </w:rPr>
        <w:t xml:space="preserve">Australia Melbourne</w:t>
      </w:r>
      <w:r>
        <w:t xml:space="preserve">.</w:t>
      </w:r>
    </w:p>
    <w:bookmarkEnd w:id="21"/>
    <w:bookmarkStart w:id="22" w:name="Xca258d032db63ed6034b7de162897e366e61cfa"/>
    <w:p>
      <w:pPr>
        <w:pStyle w:val="Heading2"/>
      </w:pPr>
      <w:r>
        <w:t xml:space="preserve">3. Laboratory Findings and Biochemical Analysis</w:t>
      </w:r>
    </w:p>
    <w:p>
      <w:pPr>
        <w:pStyle w:val="FirstParagraph"/>
      </w:pPr>
      <w:r>
        <w:t xml:space="preserve">The following section presents the laboratory data collected during the baseline assessment. These values were analyzed by the treating</w:t>
      </w:r>
      <w:r>
        <w:t xml:space="preserve"> </w:t>
      </w:r>
      <w:r>
        <w:rPr>
          <w:bCs/>
          <w:b/>
        </w:rPr>
        <w:t xml:space="preserve">Dietitian</w:t>
      </w:r>
      <w:r>
        <w:t xml:space="preserve"> </w:t>
      </w:r>
      <w:r>
        <w:t xml:space="preserve">to determine nutritional deficiencies and metabolic risks.</w:t>
      </w:r>
    </w:p>
    <w:p>
      <w:pPr>
        <w:pStyle w:val="BodyText"/>
      </w:pPr>
      <w:r>
        <w:t xml:space="preserve">Biomarker</w:t>
      </w:r>
    </w:p>
    <w:p>
      <w:pPr>
        <w:pStyle w:val="BodyText"/>
      </w:pPr>
      <w:r>
        <w:t xml:space="preserve">Result</w:t>
      </w:r>
    </w:p>
    <w:p>
      <w:pPr>
        <w:pStyle w:val="BodyText"/>
      </w:pPr>
      <w:r>
        <w:t xml:space="preserve">Reference Range (Australia)</w:t>
      </w:r>
    </w:p>
    <w:p>
      <w:pPr>
        <w:pStyle w:val="BodyText"/>
      </w:pPr>
      <w:r>
        <w:t xml:space="preserve">Clinical Significance</w:t>
      </w:r>
    </w:p>
    <w:p>
      <w:pPr>
        <w:pStyle w:val="BodyText"/>
      </w:pPr>
      <w:r>
        <w:t xml:space="preserve">Fasting Glucose</w:t>
      </w:r>
    </w:p>
    <w:p>
      <w:pPr>
        <w:pStyle w:val="BodyText"/>
      </w:pPr>
      <w:r>
        <w:t xml:space="preserve">7.2 mmol/L</w:t>
      </w:r>
    </w:p>
    <w:p>
      <w:pPr>
        <w:pStyle w:val="BodyText"/>
      </w:pPr>
      <w:r>
        <w:t xml:space="preserve">4.0 – 5.4 mmol/L</w:t>
      </w:r>
    </w:p>
    <w:p>
      <w:pPr>
        <w:pStyle w:val="BodyText"/>
      </w:pPr>
      <w:r>
        <w:t xml:space="preserve">T</w:t>
      </w:r>
    </w:p>
    <w:p>
      <w:pPr>
        <w:pStyle w:val="BodyText"/>
      </w:pPr>
      <w:r>
        <w:t xml:space="preserve">Fasting Glucose (mmol/L) | 7.2 | 4.0 - 5.6 | Elevated, indicative of impaired fasting glucose.</w:t>
      </w:r>
    </w:p>
    <w:p>
      <w:pPr>
        <w:pStyle w:val="BodyText"/>
      </w:pPr>
      <w:r>
        <w:t xml:space="preserve">HbA1c (%)</w:t>
      </w:r>
    </w:p>
    <w:p>
      <w:pPr>
        <w:pStyle w:val="BodyText"/>
      </w:pPr>
      <w:r>
        <w:t xml:space="preserve">6.8%</w:t>
      </w:r>
    </w:p>
    <w:p>
      <w:pPr>
        <w:pStyle w:val="BodyText"/>
      </w:pPr>
      <w:r>
        <w:t xml:space="preserve">&gt;= 5.7% and &lt;= 6.4% = Prediabetes; &gt;= 6.5% = Diabetes</w:t>
      </w:r>
    </w:p>
    <w:p>
      <w:pPr>
        <w:pStyle w:val="BodyText"/>
      </w:pPr>
      <w:r>
        <w:t xml:space="preserve">T</w:t>
      </w:r>
    </w:p>
    <w:p>
      <w:pPr>
        <w:pStyle w:val="BodyText"/>
      </w:pPr>
      <w:r>
        <w:t xml:space="preserve">HbA1c (%) | 6.8 | Prediabetic range approaching diabetes threshold.</w:t>
      </w:r>
    </w:p>
    <w:p>
      <w:pPr>
        <w:pStyle w:val="BodyText"/>
      </w:pPr>
      <w:r>
        <w:t xml:space="preserve">Lipid Profile - LDL</w:t>
      </w:r>
    </w:p>
    <w:p>
      <w:pPr>
        <w:pStyle w:val="BodyText"/>
      </w:pPr>
      <w:r>
        <w:t xml:space="preserve">3.4 mmol/L</w:t>
      </w:r>
    </w:p>
    <w:p>
      <w:pPr>
        <w:pStyle w:val="BodyText"/>
      </w:pPr>
      <w:r>
        <w:t xml:space="preserve">&lt;2.5 mmol/L (General Population)</w:t>
      </w:r>
    </w:p>
    <w:p>
      <w:pPr>
        <w:pStyle w:val="BodyText"/>
      </w:pPr>
      <w:r>
        <w:t xml:space="preserve">T</w:t>
      </w:r>
    </w:p>
    <w:p>
      <w:pPr>
        <w:pStyle w:val="BodyText"/>
      </w:pPr>
      <w:r>
        <w:t xml:space="preserve">Lipid Profile - LDL | 3.4 | High; requires dietary intervention to reduce saturated fat intake.</w:t>
      </w:r>
    </w:p>
    <w:p>
      <w:pPr>
        <w:pStyle w:val="BodyText"/>
      </w:pPr>
      <w:r>
        <w:t xml:space="preserve">Serum Vitamin D</w:t>
      </w:r>
    </w:p>
    <w:p>
      <w:pPr>
        <w:pStyle w:val="BodyText"/>
      </w:pPr>
      <w:r>
        <w:t xml:space="preserve">45 nmol/L</w:t>
      </w:r>
    </w:p>
    <w:p>
      <w:pPr>
        <w:pStyle w:val="BodyText"/>
      </w:pPr>
      <w:r>
        <w:t xml:space="preserve">&gt;75 nmol/L (Optimal in Australia)</w:t>
      </w:r>
    </w:p>
    <w:p>
      <w:pPr>
        <w:pStyle w:val="BodyText"/>
      </w:pPr>
      <w:r>
        <w:t xml:space="preserve">T</w:t>
      </w:r>
    </w:p>
    <w:p>
      <w:pPr>
        <w:pStyle w:val="BodyText"/>
      </w:pPr>
      <w:r>
        <w:t xml:space="preserve">Vitamin D | 45 | Insufficient; common in Melbourne due to seasonal variations and indoor lifestyle.</w:t>
      </w:r>
    </w:p>
    <w:bookmarkEnd w:id="22"/>
    <w:bookmarkStart w:id="23" w:name="dietary-assessment-methodology"/>
    <w:p>
      <w:pPr>
        <w:pStyle w:val="Heading2"/>
      </w:pPr>
      <w:r>
        <w:t xml:space="preserve">4. Dietary Assessment Methodology</w:t>
      </w:r>
    </w:p>
    <w:p>
      <w:pPr>
        <w:pStyle w:val="FirstParagraph"/>
      </w:pPr>
      <w:r>
        <w:t xml:space="preserve">To accurately interpret the laboratory results, the</w:t>
      </w:r>
      <w:r>
        <w:t xml:space="preserve"> </w:t>
      </w:r>
      <w:r>
        <w:rPr>
          <w:bCs/>
          <w:b/>
        </w:rPr>
        <w:t xml:space="preserve">Dietitian</w:t>
      </w:r>
      <w:r>
        <w:t xml:space="preserve"> </w:t>
      </w:r>
      <w:r>
        <w:t xml:space="preserve">employed a combination of 3-day food diaries and a Food Frequency Questionnaire (FFQ). This methodology is standard practice in clinical dietetics within</w:t>
      </w:r>
      <w:r>
        <w:t xml:space="preserve"> </w:t>
      </w:r>
      <w:r>
        <w:rPr>
          <w:bCs/>
          <w:b/>
        </w:rPr>
        <w:t xml:space="preserve">Australia Melbourne</w:t>
      </w:r>
      <w:r>
        <w:t xml:space="preserve">. The assessment focused on identifying specific barriers to healthy eating, including budget constraints, time poverty, and lack of culinary knowledge.</w:t>
      </w:r>
    </w:p>
    <w:p>
      <w:pPr>
        <w:pStyle w:val="BodyText"/>
      </w:pPr>
      <w:r>
        <w:t xml:space="preserve">The analysis revealed that the patient’s sodium intake exceeded 3000mg per day, significantly above the recommended limit for hypertensive individuals. Furthermore, fiber intake was critically low at 12g per day against an Australian recommendation of approximately 25-30g daily. The</w:t>
      </w:r>
      <w:r>
        <w:t xml:space="preserve"> </w:t>
      </w:r>
      <w:r>
        <w:rPr>
          <w:bCs/>
          <w:b/>
        </w:rPr>
        <w:t xml:space="preserve">Dietitian</w:t>
      </w:r>
      <w:r>
        <w:t xml:space="preserve"> </w:t>
      </w:r>
      <w:r>
        <w:t xml:space="preserve">also noted a lack of diversity in plant-based food sources, which is crucial for gut microbiome health and metabolic regulation.</w:t>
      </w:r>
    </w:p>
    <w:bookmarkEnd w:id="23"/>
    <w:bookmarkStart w:id="27" w:name="X5d6e91ff76373dec12a622533263728793cc271"/>
    <w:p>
      <w:pPr>
        <w:pStyle w:val="Heading2"/>
      </w:pPr>
      <w:r>
        <w:t xml:space="preserve">5. Intervention Strategy: The Dietitian’s Prescription</w:t>
      </w:r>
    </w:p>
    <w:p>
      <w:pPr>
        <w:pStyle w:val="FirstParagraph"/>
      </w:pPr>
      <w:r>
        <w:t xml:space="preserve">Based on the laboratory data and dietary assessment, the following evidence-based intervention plan was prescribed. This strategy leverages local Australian resources to ensure sustainability for a patient living in Melbourne.</w:t>
      </w:r>
    </w:p>
    <w:bookmarkStart w:id="24" w:name="a.-macronutrient-adjustment"/>
    <w:p>
      <w:pPr>
        <w:pStyle w:val="Heading3"/>
      </w:pPr>
      <w:r>
        <w:rPr>
          <w:bCs/>
          <w:b/>
        </w:rPr>
        <w:t xml:space="preserve">A. Macronutrient Adjustment</w:t>
      </w:r>
    </w:p>
    <w:p>
      <w:pPr>
        <w:pStyle w:val="FirstParagraph"/>
      </w:pPr>
      <w:r>
        <w:t xml:space="preserve">The primary goal is to stabilize blood glucose levels. The</w:t>
      </w:r>
      <w:r>
        <w:t xml:space="preserve"> </w:t>
      </w:r>
      <w:r>
        <w:rPr>
          <w:bCs/>
          <w:b/>
        </w:rPr>
        <w:t xml:space="preserve">Dietitian</w:t>
      </w:r>
      <w:r>
        <w:t xml:space="preserve"> </w:t>
      </w:r>
      <w:r>
        <w:t xml:space="preserve">recommends a reduction in refined carbohydrates and an increase in soluble fiber. Specific substitutions include swapping white bread for 70% wholegrain or sourdough varieties available at local Melbourne bakeries, which have a lower glycemic impact than standard white breads.</w:t>
      </w:r>
    </w:p>
    <w:bookmarkEnd w:id="24"/>
    <w:bookmarkStart w:id="25" w:name="b.-sodium-reduction-protocol"/>
    <w:p>
      <w:pPr>
        <w:pStyle w:val="Heading3"/>
      </w:pPr>
      <w:r>
        <w:rPr>
          <w:bCs/>
          <w:b/>
        </w:rPr>
        <w:t xml:space="preserve">B. Sodium Reduction Protocol</w:t>
      </w:r>
    </w:p>
    <w:p>
      <w:pPr>
        <w:pStyle w:val="FirstParagraph"/>
      </w:pPr>
      <w:r>
        <w:t xml:space="preserve">To address hypertension, the patient was advised to adopt the DASH (Dietary Approaches to Stop Hypertension) diet principles. This involves eliminating processed meats such as salami and ham, which are staples in Australian pantries but high in nitrates and salt. Instead, fresh lean proteins sourced from local markets are encouraged.</w:t>
      </w:r>
    </w:p>
    <w:bookmarkEnd w:id="25"/>
    <w:bookmarkStart w:id="26" w:name="c.-vitamin-d-optimization"/>
    <w:p>
      <w:pPr>
        <w:pStyle w:val="Heading3"/>
      </w:pPr>
      <w:r>
        <w:rPr>
          <w:bCs/>
          <w:b/>
        </w:rPr>
        <w:t xml:space="preserve">C. Vitamin D Optimization</w:t>
      </w:r>
    </w:p>
    <w:p>
      <w:pPr>
        <w:pStyle w:val="FirstParagraph"/>
      </w:pPr>
      <w:r>
        <w:t xml:space="preserve">Given the low Vitamin D levels common in Melbourne residents, especially during winter months, the</w:t>
      </w:r>
      <w:r>
        <w:t xml:space="preserve"> </w:t>
      </w:r>
      <w:r>
        <w:rPr>
          <w:bCs/>
          <w:b/>
        </w:rPr>
        <w:t xml:space="preserve">Dietitian</w:t>
      </w:r>
      <w:r>
        <w:t xml:space="preserve"> </w:t>
      </w:r>
      <w:r>
        <w:t xml:space="preserve">prescribed dietary sources rich in Omega-3 fatty acids and Vitamin D, such as salmon and sardines. Supplementation was also recommended based on local clinical guidelines for residents with insufficient serum levels.</w:t>
      </w:r>
    </w:p>
    <w:bookmarkEnd w:id="26"/>
    <w:bookmarkEnd w:id="27"/>
    <w:bookmarkStart w:id="28" w:name="expected-outcomes-and-monitoring-plan"/>
    <w:p>
      <w:pPr>
        <w:pStyle w:val="Heading2"/>
      </w:pPr>
      <w:r>
        <w:t xml:space="preserve">6. Expected Outcomes and Monitoring Plan</w:t>
      </w:r>
    </w:p>
    <w:p>
      <w:pPr>
        <w:pStyle w:val="FirstParagraph"/>
      </w:pPr>
      <w:r>
        <w:t xml:space="preserve">The success of this laboratory report’s proposed intervention will be measured through follow-up laboratory testing in 12 weeks. The primary endpoints include a reduction in HbA1c to below 6.5% and a decrease in LDL cholesterol levels. The</w:t>
      </w:r>
      <w:r>
        <w:t xml:space="preserve"> </w:t>
      </w:r>
      <w:r>
        <w:rPr>
          <w:bCs/>
          <w:b/>
        </w:rPr>
        <w:t xml:space="preserve">Dietitian</w:t>
      </w:r>
      <w:r>
        <w:t xml:space="preserve"> </w:t>
      </w:r>
      <w:r>
        <w:t xml:space="preserve">will conduct bi-weekly telehealth consultations, a common modality for healthcare delivery in post-pandemic</w:t>
      </w:r>
      <w:r>
        <w:t xml:space="preserve"> </w:t>
      </w:r>
      <w:r>
        <w:rPr>
          <w:bCs/>
          <w:b/>
        </w:rPr>
        <w:t xml:space="preserve">Australia Melbourne</w:t>
      </w:r>
      <w:r>
        <w:t xml:space="preserve">, to monitor adherence and adjust the plan as necessary.</w:t>
      </w:r>
    </w:p>
    <w:p>
      <w:pPr>
        <w:pStyle w:val="BodyText"/>
      </w:pPr>
      <w:r>
        <w:t xml:space="preserve">Patient education materials were provided by Dietitians Australia, specifically tailored for urban dwellers. These resources emphasize practical skills such as reading nutrition information panels (NIP), a critical skill for navigating the complex Australian food market. The focus is on long-term behavioral change rather than short-term restrictive dieting.</w:t>
      </w:r>
    </w:p>
    <w:bookmarkEnd w:id="28"/>
    <w:bookmarkStart w:id="29" w:name="conclusion"/>
    <w:p>
      <w:pPr>
        <w:pStyle w:val="Heading2"/>
      </w:pPr>
      <w:r>
        <w:t xml:space="preserve">7. Conclusion</w:t>
      </w:r>
    </w:p>
    <w:p>
      <w:pPr>
        <w:pStyle w:val="FirstParagraph"/>
      </w:pPr>
      <w:r>
        <w:t xml:space="preserve">This laboratory report demonstrates the critical role of professional dietetic care in managing chronic disease risk factors within an urban Australian setting. By utilizing rigorous biochemical analysis and culturally competent dietary planning, the</w:t>
      </w:r>
      <w:r>
        <w:t xml:space="preserve"> </w:t>
      </w:r>
      <w:r>
        <w:rPr>
          <w:bCs/>
          <w:b/>
        </w:rPr>
        <w:t xml:space="preserve">Dietitian</w:t>
      </w:r>
      <w:r>
        <w:t xml:space="preserve"> </w:t>
      </w:r>
      <w:r>
        <w:t xml:space="preserve">has established a robust framework for improving Patient MEL-9948-XC’s health outcomes. The specific context of living in</w:t>
      </w:r>
      <w:r>
        <w:t xml:space="preserve"> </w:t>
      </w:r>
      <w:r>
        <w:rPr>
          <w:bCs/>
          <w:b/>
        </w:rPr>
        <w:t xml:space="preserve">Australia Melbourne</w:t>
      </w:r>
      <w:r>
        <w:t xml:space="preserve"> </w:t>
      </w:r>
      <w:r>
        <w:t xml:space="preserve">was integrated into every aspect of the care plan, from leveraging local produce availability to addressing regional deficiencies like Vitamin D.</w:t>
      </w:r>
    </w:p>
    <w:p>
      <w:pPr>
        <w:pStyle w:val="BodyText"/>
      </w:pPr>
      <w:r>
        <w:t xml:space="preserve">The integration of clinical data with practical lifestyle modifications underscores the importance of Accredited Practising Dietitians in the Australian healthcare landscape. Continued monitoring and adherence to this protocol are expected to result in significant improvements in metabolic health, reducing the long-term burden on both the patient and the public health system.</w:t>
      </w:r>
    </w:p>
    <w:p>
      <w:pPr>
        <w:pStyle w:val="BodyText"/>
      </w:pPr>
      <w:r>
        <w:rPr>
          <w:bCs/>
          <w:b/>
        </w:rPr>
        <w:t xml:space="preserve">Disclaimer:</w:t>
      </w:r>
      <w:r>
        <w:t xml:space="preserve"> </w:t>
      </w:r>
      <w:r>
        <w:t xml:space="preserve">This document is for educational and reporting purposes only. It reflects a simulated clinical scenario based on standard practices for a Dietitian in Australia Melbourne. Always consult with a healthcare professional before making significant changes to your diet or medical regimen.</w:t>
      </w:r>
    </w:p>
    <w:p>
      <w:pPr>
        <w:pStyle w:val="BodyText"/>
      </w:pPr>
      <w:r>
        <w:t xml:space="preserve">© 2023 Clinical Nutrition Services.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Nutritional Assessment and Dietary Intervention Protocol: A Dietitian Case Study in Australia Melbourne</dc:title>
  <dc:creator/>
  <dc:language>en</dc:language>
  <cp:keywords/>
  <dcterms:created xsi:type="dcterms:W3CDTF">2026-07-29T07:16:48Z</dcterms:created>
  <dcterms:modified xsi:type="dcterms:W3CDTF">2026-07-29T07:16:48Z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