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41356ef9be46e05b378ce2f34b2af4c93ce12d"/>
    <w:p>
      <w:pPr>
        <w:pStyle w:val="Heading1"/>
      </w:pPr>
      <w:r>
        <w:t xml:space="preserve">Laboratory Clinical Nutrition Assessment Report</w:t>
      </w:r>
    </w:p>
    <w:p>
      <w:pPr>
        <w:pStyle w:val="FirstParagraph"/>
      </w:pPr>
      <w:r>
        <w:rPr>
          <w:bCs/>
          <w:b/>
        </w:rPr>
        <w:t xml:space="preserve">Patient ID:</w:t>
      </w:r>
      <w:r>
        <w:t xml:space="preserve"> </w:t>
      </w:r>
      <w:r>
        <w:t xml:space="preserve">EG-CAI-2023-X89</w:t>
      </w:r>
      <w:r>
        <w:br/>
      </w:r>
      <w:r>
        <w:rPr>
          <w:bCs/>
          <w:b/>
        </w:rPr>
        <w:t xml:space="preserve">Date of Analysis:</w:t>
      </w:r>
      <w:r>
        <w:t xml:space="preserve"> </w:t>
      </w:r>
      <w:r>
        <w:t xml:space="preserve">October 26, 2023</w:t>
      </w:r>
      <w:r>
        <w:br/>
      </w:r>
      <w:r>
        <w:rPr>
          <w:bCs/>
          <w:b/>
        </w:rPr>
        <w:t xml:space="preserve">Facility Location:</w:t>
      </w:r>
      <w:r>
        <w:t xml:space="preserve"> </w:t>
      </w:r>
      <w:r>
        <w:t xml:space="preserve">Cairo Specialized Medical Center, Heliopolis District, Egypt</w:t>
      </w:r>
    </w:p>
    <w:bookmarkEnd w:id="20"/>
    <w:bookmarkStart w:id="22" w:name="executive-summary"/>
    <w:bookmarkStart w:id="21" w:name="Xe46db0114bcdb6c345a29e551caf4691284eac1"/>
    <w:p>
      <w:pPr>
        <w:pStyle w:val="Heading2"/>
      </w:pPr>
      <w:r>
        <w:t xml:space="preserve">1. Executive Summary and Introduction to the Dietitian's Role in Egypt Cairo Context</w:t>
      </w:r>
    </w:p>
    <w:p>
      <w:pPr>
        <w:pStyle w:val="FirstParagraph"/>
      </w:pPr>
      <w:r>
        <w:t xml:space="preserve">This laboratory report serves as a comprehensive clinical analysis designed for the utilization of a qualified Dietitian operating within the complex healthcare landscape of Cairo, Egypt. The objective of this document is to provide precise biochemical markers alongside anthropometric measurements that will directly inform dietary interventions tailored to the specific cultural and epidemiological realities found in Egypt Cairo.</w:t>
      </w:r>
    </w:p>
    <w:p>
      <w:pPr>
        <w:pStyle w:val="BodyText"/>
      </w:pPr>
      <w:r>
        <w:t xml:space="preserve">In recent years, lifestyle changes in urban centers like Egypt Cairo have led to a significant surge in metabolic syndrome, Type 2 Diabetes Mellitus (T2DM), and cardiovascular diseases. Consequently, the role of a professional Dietitian has evolved from simple nutritional counseling to critical medical management. This report bridges the gap between laboratory data and practical dietary application, ensuring that the Dietitian can prescribe evidence-based meal plans that respect local Egyptian food habits while addressing severe physiological deficiencies.</w:t>
      </w:r>
    </w:p>
    <w:bookmarkEnd w:id="21"/>
    <w:bookmarkEnd w:id="22"/>
    <w:bookmarkStart w:id="24" w:name="patient-demographics"/>
    <w:bookmarkStart w:id="23" w:name="Xdb1dc4658513697a68b1ce00eb56b56b6ff7482"/>
    <w:p>
      <w:pPr>
        <w:pStyle w:val="Heading2"/>
      </w:pPr>
      <w:r>
        <w:t xml:space="preserve">2. Patient Demographics and Anthropometric Assessment</w:t>
      </w:r>
    </w:p>
    <w:p>
      <w:pPr>
        <w:pStyle w:val="FirstParagraph"/>
      </w:pPr>
      <w:r>
        <w:t xml:space="preserve">To accurately interpret the biochemical data, it is essential to establish the baseline physical status of the patient.</w:t>
      </w:r>
    </w:p>
    <w:p>
      <w:pPr>
        <w:pStyle w:val="BodyText"/>
      </w:pPr>
      <w:r>
        <w:t xml:space="preserve">Metric</w:t>
      </w:r>
    </w:p>
    <w:bookmarkEnd w:id="23"/>
    <w:bookmarkEnd w:id="24"/>
    <w:p>
      <w:pPr>
        <w:pStyle w:val="BodyText"/>
      </w:pPr>
      <w:r>
        <w:t xml:space="preserve">Data</w:t>
      </w:r>
    </w:p>
    <w:p>
      <w:pPr>
        <w:pStyle w:val="BodyText"/>
      </w:pPr>
      <w:r>
        <w:t xml:space="preserve">Name/Age/Gender</w:t>
      </w:r>
    </w:p>
    <w:p>
      <w:pPr>
        <w:pStyle w:val="BodyText"/>
      </w:pPr>
      <w:r>
        <w:t xml:space="preserve">[Patient Name] / 45 Years / Female</w:t>
      </w:r>
    </w:p>
    <w:p>
      <w:pPr>
        <w:pStyle w:val="BodyText"/>
      </w:pPr>
      <w:r>
        <w:t xml:space="preserve">BMI (Body Mass Index)</w:t>
      </w:r>
    </w:p>
    <w:p>
      <w:pPr>
        <w:pStyle w:val="BodyText"/>
      </w:pPr>
      <w:r>
        <w:t xml:space="preserve">31.2 kg/m² (Class I Obesity)</w:t>
      </w:r>
    </w:p>
    <w:p>
      <w:pPr>
        <w:pStyle w:val="BodyText"/>
      </w:pPr>
      <w:r>
        <w:t xml:space="preserve">Metric</w:t>
      </w:r>
    </w:p>
    <w:p>
      <w:pPr>
        <w:pStyle w:val="BodyText"/>
      </w:pPr>
      <w:r>
        <w:t xml:space="preserve">The patient resides in Downtown Cairo, an area associated with sedentary occupational habits and limited access to fresh produce compared to newer suburban developments. The anthropometric data indicates a high visceral fat risk, which correlates strongly with the inflammatory markers detailed below.</w:t>
      </w:r>
    </w:p>
    <w:bookmarkStart w:id="26" w:name="biochemical-analysis"/>
    <w:bookmarkStart w:id="25" w:name="biochemical-laboratory-analysis"/>
    <w:p>
      <w:pPr>
        <w:pStyle w:val="Heading2"/>
      </w:pPr>
      <w:r>
        <w:t xml:space="preserve">3. Biochemical Laboratory Analysis</w:t>
      </w:r>
    </w:p>
    <w:p>
      <w:pPr>
        <w:pStyle w:val="FirstParagraph"/>
      </w:pPr>
      <w:r>
        <w:t xml:space="preserve">The following results are derived from standard venous blood panels commonly utilized in Egyptian public and private laboratories. These values provide the scientific foundation for the Dietitian’s recommendations.</w:t>
      </w:r>
    </w:p>
    <w:p>
      <w:pPr>
        <w:pStyle w:val="BodyText"/>
      </w:pPr>
      <w:r>
        <w:t xml:space="preserve">Laboratory Parameter</w:t>
      </w:r>
    </w:p>
    <w:bookmarkEnd w:id="25"/>
    <w:bookmarkEnd w:id="26"/>
    <w:p>
      <w:pPr>
        <w:pStyle w:val="BodyText"/>
      </w:pPr>
      <w:r>
        <w:t xml:space="preserve">Patient Result</w:t>
      </w:r>
    </w:p>
    <w:p>
      <w:pPr>
        <w:pStyle w:val="BodyText"/>
      </w:pPr>
      <w:r>
        <w:t xml:space="preserve">Reference Range (Local Standards)</w:t>
      </w:r>
    </w:p>
    <w:p>
      <w:pPr>
        <w:pStyle w:val="BodyText"/>
      </w:pPr>
      <w:r>
        <w:t xml:space="preserve">Fasting Plasma Glucose (FPG)</w:t>
      </w:r>
    </w:p>
    <w:p>
      <w:pPr>
        <w:pStyle w:val="BodyText"/>
      </w:pPr>
      <w:r>
        <w:t xml:space="preserve">142 mg/dL</w:t>
      </w:r>
    </w:p>
    <w:p>
      <w:pPr>
        <w:pStyle w:val="BodyText"/>
      </w:pPr>
      <w:r>
        <w:t xml:space="preserve">70 - 100 mg/dL</w:t>
      </w:r>
    </w:p>
    <w:p>
      <w:pPr>
        <w:pStyle w:val="BodyText"/>
      </w:pPr>
      <w:r>
        <w:t xml:space="preserve">Laboratory Parameter</w:t>
      </w:r>
    </w:p>
    <w:p>
      <w:pPr>
        <w:pStyle w:val="BodyText"/>
      </w:pPr>
      <w:r>
        <w:t xml:space="preserve">The elevated fasting glucose suggests pre-diabetic to early diabetic status, a prevalent condition in Egypt Cairo due to high carbohydrate consumption. Immediate dietary modification is required to stabilize glycemic spikes.</w:t>
      </w:r>
    </w:p>
    <w:p>
      <w:pPr>
        <w:pStyle w:val="BodyText"/>
      </w:pPr>
      <w:r>
        <w:t xml:space="preserve">Lipid Profile</w:t>
      </w:r>
    </w:p>
    <w:p>
      <w:pPr>
        <w:pStyle w:val="BodyText"/>
      </w:pPr>
      <w:r>
        <w:t xml:space="preserve">Patient Result</w:t>
      </w:r>
    </w:p>
    <w:p>
      <w:pPr>
        <w:pStyle w:val="BodyText"/>
      </w:pPr>
      <w:r>
        <w:t xml:space="preserve">Total Cholesterol</w:t>
      </w:r>
    </w:p>
    <w:p>
      <w:pPr>
        <w:pStyle w:val="BodyText"/>
      </w:pPr>
      <w:r>
        <w:t xml:space="preserve">245 mg/dL</w:t>
      </w:r>
    </w:p>
    <w:p>
      <w:pPr>
        <w:pStyle w:val="BodyText"/>
      </w:pPr>
      <w:r>
        <w:t xml:space="preserve">LDL (Low-Density Lipoprotein)</w:t>
      </w:r>
    </w:p>
    <w:p>
      <w:pPr>
        <w:pStyle w:val="BodyText"/>
      </w:pPr>
      <w:r>
        <w:t xml:space="preserve">Elevated LDL and triglycerides in the context of a typical Egyptian diet—often high in saturated fats from fried street foods and refined grains—indicate a high risk for atherosclerosis. The Dietitian must focus on fiber intake, specifically soluble fiber found in local legumes.</w:t>
      </w:r>
    </w:p>
    <w:p>
      <w:pPr>
        <w:pStyle w:val="BodyText"/>
      </w:pPr>
      <w:r>
        <w:t xml:space="preserve">HDL (High-Density Lipoprotein)</w:t>
      </w:r>
    </w:p>
    <w:p>
      <w:pPr>
        <w:pStyle w:val="BodyText"/>
      </w:pPr>
      <w:r>
        <w:t xml:space="preserve">38 mg/dL (Low)</w:t>
      </w:r>
    </w:p>
    <w:p>
      <w:pPr>
        <w:pStyle w:val="BodyText"/>
      </w:pPr>
      <w:r>
        <w:t xml:space="preserve">Laboratory Parameter</w:t>
      </w:r>
    </w:p>
    <w:bookmarkStart w:id="27" w:name="vitamins-and-minerals-panel"/>
    <w:p>
      <w:pPr>
        <w:pStyle w:val="Heading3"/>
      </w:pPr>
      <w:r>
        <w:t xml:space="preserve">Vitamins and Minerals Panel</w:t>
      </w:r>
    </w:p>
    <w:p>
      <w:pPr>
        <w:pStyle w:val="FirstParagraph"/>
      </w:pPr>
      <w:r>
        <w:t xml:space="preserve">Nutritional status in Egypt Cairo often suffers from specific micronutrient deficits despite caloric surplus.</w:t>
      </w:r>
    </w:p>
    <w:p>
      <w:pPr>
        <w:pStyle w:val="BodyText"/>
      </w:pPr>
      <w:r>
        <w:t xml:space="preserve">Vitamin D (25-OH)</w:t>
      </w:r>
    </w:p>
    <w:p>
      <w:pPr>
        <w:pStyle w:val="BodyText"/>
      </w:pPr>
      <w:r>
        <w:t xml:space="preserve">This deficiency is ubiquitous in urban Egypt Cairo due to cultural clothing norms and indoor lifestyles. The Dietitian must incorporate fortified foods or recommend specific supplementation protocols alongside dietary calcium.</w:t>
      </w:r>
    </w:p>
    <w:p>
      <w:pPr>
        <w:pStyle w:val="BodyText"/>
      </w:pPr>
      <w:r>
        <w:t xml:space="preserve">Laboratory Parameter</w:t>
      </w:r>
    </w:p>
    <w:p>
      <w:pPr>
        <w:pStyle w:val="BodyText"/>
      </w:pPr>
      <w:r>
        <w:t xml:space="preserve">Hematological markers confirm the need for iron-rich plant-based sources compatible with local cuisine, avoiding interactions with tannins found in strong black tea traditionally consumed after meals.</w:t>
      </w:r>
    </w:p>
    <w:bookmarkEnd w:id="27"/>
    <w:bookmarkStart w:id="29" w:name="dietary-intervention"/>
    <w:bookmarkStart w:id="28" w:name="Xe677ee3fb9cfe5875856933d347ba0c6a0ce5a6"/>
    <w:p>
      <w:pPr>
        <w:pStyle w:val="Heading2"/>
      </w:pPr>
      <w:r>
        <w:t xml:space="preserve">4. Strategic Dietary Recommendations for the Egypt Cairo Context</w:t>
      </w:r>
    </w:p>
    <w:p>
      <w:pPr>
        <w:pStyle w:val="FirstParagraph"/>
      </w:pPr>
      <w:r>
        <w:t xml:space="preserve">The Dietitian must translate the above laboratory data into a culturally competent diet plan. The following strategies are designed specifically for the food environment and cultural practices prevalent in Egypt Cairo.</w:t>
      </w:r>
    </w:p>
    <w:p>
      <w:pPr>
        <w:numPr>
          <w:ilvl w:val="0"/>
          <w:numId w:val="1001"/>
        </w:numPr>
        <w:pStyle w:val="Compact"/>
      </w:pPr>
      <w:r>
        <w:rPr>
          <w:bCs/>
          <w:b/>
        </w:rPr>
        <w:t xml:space="preserve">Culturally Adaptive Carbohydrate Management:</w:t>
      </w:r>
    </w:p>
    <w:p>
      <w:pPr>
        <w:numPr>
          <w:ilvl w:val="0"/>
          <w:numId w:val="1001"/>
        </w:numPr>
        <w:pStyle w:val="Compact"/>
      </w:pPr>
      <w:r>
        <w:rPr>
          <w:bCs/>
          <w:b/>
        </w:rPr>
        <w:t xml:space="preserve">Protein Sourcing and Preparation:</w:t>
      </w:r>
    </w:p>
    <w:p>
      <w:pPr>
        <w:numPr>
          <w:ilvl w:val="0"/>
          <w:numId w:val="1001"/>
        </w:numPr>
        <w:pStyle w:val="Compact"/>
      </w:pPr>
      <w:r>
        <w:rPr>
          <w:bCs/>
          <w:b/>
        </w:rPr>
        <w:t xml:space="preserve">Fat Reduction Techniques:</w:t>
      </w:r>
    </w:p>
    <w:p>
      <w:pPr>
        <w:numPr>
          <w:ilvl w:val="0"/>
          <w:numId w:val="1001"/>
        </w:numPr>
        <w:pStyle w:val="Compact"/>
      </w:pPr>
      <w:r>
        <w:rPr>
          <w:bCs/>
          <w:b/>
        </w:rPr>
        <w:t xml:space="preserve">Sugar and Sweet Culture Mitigation:</w:t>
      </w:r>
    </w:p>
    <w:bookmarkEnd w:id="28"/>
    <w:bookmarkEnd w:id="29"/>
    <w:bookmarkStart w:id="31" w:name="monitoring"/>
    <w:bookmarkStart w:id="30" w:name="monitoring-plan-and-prognosis"/>
    <w:p>
      <w:pPr>
        <w:pStyle w:val="Heading2"/>
      </w:pPr>
      <w:r>
        <w:t xml:space="preserve">5. Monitoring Plan and Prognosis</w:t>
      </w:r>
    </w:p>
    <w:p>
      <w:pPr>
        <w:pStyle w:val="FirstParagraph"/>
      </w:pPr>
      <w:r>
        <w:t xml:space="preserve">The success of the Dietitian’s intervention relies on continuous monitoring aligned with the patient's schedule in Egypt Cairo. A follow-up laboratory assessment is scheduled for 12 weeks post-intervention to re-evaluate HbA1c, lipid profiles, and Vitamin D levels.</w:t>
      </w:r>
    </w:p>
    <w:p>
      <w:pPr>
        <w:numPr>
          <w:ilvl w:val="0"/>
          <w:numId w:val="1002"/>
        </w:numPr>
        <w:pStyle w:val="Compact"/>
      </w:pPr>
      <w:r>
        <w:rPr>
          <w:bCs/>
          <w:b/>
        </w:rPr>
        <w:t xml:space="preserve">Weigh-In Schedule:</w:t>
      </w:r>
    </w:p>
    <w:p>
      <w:pPr>
        <w:numPr>
          <w:ilvl w:val="0"/>
          <w:numId w:val="1002"/>
        </w:numPr>
        <w:pStyle w:val="Compact"/>
      </w:pPr>
      <w:r>
        <w:rPr>
          <w:bCs/>
          <w:b/>
        </w:rPr>
        <w:t xml:space="preserve">Blood Glucose Monitoring:</w:t>
      </w:r>
      <w:r>
        <w:t xml:space="preserve">tddr&gt;</w:t>
      </w:r>
    </w:p>
    <w:p>
      <w:pPr>
        <w:pStyle w:val="FirstParagraph"/>
      </w:pPr>
      <w:r>
        <w:rPr>
          <w:iCs/>
          <w:i/>
        </w:rPr>
        <w:t xml:space="preserve">This laboratory report is intended for professional use by the Dietitian managing patients in Egypt Cairo. All nutritional advice must be adjusted according to individual patient tolerance and socioeconomic constraints common in this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2026-07-29T07:16:06Z</dcterms:created>
  <dcterms:modified xsi:type="dcterms:W3CDTF">2026-07-29T07:16:06Z</dcterms:modified>
</cp:coreProperties>
</file>

<file path=docProps/custom.xml><?xml version="1.0" encoding="utf-8"?>
<Properties xmlns="http://schemas.openxmlformats.org/officeDocument/2006/custom-properties" xmlns:vt="http://schemas.openxmlformats.org/officeDocument/2006/docPropsVTypes"/>
</file>