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Analysis</w:t>
      </w:r>
      <w:r>
        <w:t xml:space="preserve"> </w:t>
      </w:r>
      <w:r>
        <w:t xml:space="preserve">of</w:t>
      </w:r>
      <w:r>
        <w:t xml:space="preserve"> </w:t>
      </w:r>
      <w:r>
        <w:t xml:space="preserve">Clinical</w:t>
      </w:r>
      <w:r>
        <w:t xml:space="preserve"> </w:t>
      </w:r>
      <w:r>
        <w:t xml:space="preserve">Nutrition</w:t>
      </w:r>
      <w:r>
        <w:t xml:space="preserve"> </w:t>
      </w:r>
      <w:r>
        <w:t xml:space="preserve">and</w:t>
      </w:r>
      <w:r>
        <w:t xml:space="preserve"> </w:t>
      </w:r>
      <w:r>
        <w:t xml:space="preserve">Dietary</w:t>
      </w:r>
      <w:r>
        <w:t xml:space="preserve"> </w:t>
      </w:r>
      <w:r>
        <w:t xml:space="preserve">Management</w:t>
      </w:r>
      <w:r>
        <w:t xml:space="preserve"> </w:t>
      </w:r>
      <w:r>
        <w:t xml:space="preserve">in</w:t>
      </w:r>
      <w:r>
        <w:t xml:space="preserve"> </w:t>
      </w:r>
      <w:r>
        <w:t xml:space="preserve">Germany,</w:t>
      </w:r>
      <w:r>
        <w:t xml:space="preserve"> </w:t>
      </w:r>
      <w:r>
        <w:t xml:space="preserve">Berlin</w:t>
      </w:r>
    </w:p>
    <w:bookmarkStart w:id="28" w:name="X2a985b4936221c96cb1e4b9c27ec40dfe2b3cdb"/>
    <w:p>
      <w:pPr>
        <w:pStyle w:val="Heading1"/>
      </w:pPr>
      <w:r>
        <w:t xml:space="preserve">Laboratory Report on Clinical Dietary Interventions and Professional Standards for Dietitians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Health Nutrition, Charité – Universitätsmedizin Berlin</w:t>
      </w:r>
      <w:r>
        <w:br/>
      </w:r>
      <w:r>
        <w:rPr>
          <w:bCs/>
          <w:b/>
        </w:rPr>
        <w:t xml:space="preserve">From:</w:t>
      </w:r>
      <w:r>
        <w:t xml:space="preserve"> </w:t>
      </w:r>
      <w:r>
        <w:t xml:space="preserve">Senior Clinical Research Analyst</w:t>
      </w:r>
      <w:r>
        <w:br/>
      </w:r>
    </w:p>
    <w:p>
      <w:pPr>
        <w:pStyle w:val="BodyText"/>
      </w:pPr>
      <w:r>
        <w:t xml:space="preserve">This</w:t>
      </w:r>
      <w:r>
        <w:t xml:space="preserve"> </w:t>
      </w:r>
      <w:hyperlink w:anchor="Xa39a3ee5e6b4b0d3255bfef95601890afd80709">
        <w:r>
          <w:rPr>
            <w:rStyle w:val="Hyperlink"/>
          </w:rPr>
          <w:t xml:space="preserve">Lab Report</w:t>
        </w:r>
      </w:hyperlink>
      <w:r>
        <w:t xml:space="preserve"> </w:t>
      </w:r>
      <w:r>
        <w:t xml:space="preserve">aims to provide a rigorous examination of the professional responsibilities, regulatory frameworks, and clinical applications associated with the role of a</w:t>
      </w:r>
      <w:r>
        <w:t xml:space="preserve"> </w:t>
      </w:r>
      <w:hyperlink w:anchor="Xa39a3ee5e6b4b0d3255bfef95601890afd80709">
        <w:r>
          <w:rPr>
            <w:rStyle w:val="Hyperlink"/>
          </w:rPr>
          <w:t xml:space="preserve">Dietitian</w:t>
        </w:r>
      </w:hyperlink>
      <w:r>
        <w:t xml:space="preserve"> </w:t>
      </w:r>
      <w:r>
        <w:t xml:space="preserve">operating specifically within the distinct healthcare landscape of</w:t>
      </w:r>
      <w:r>
        <w:t xml:space="preserve"> </w:t>
      </w:r>
      <w:r>
        <w:rPr>
          <w:bCs/>
          <w:b/>
        </w:rPr>
        <w:t xml:space="preserve">Germany Berlin</w:t>
      </w:r>
      <w:r>
        <w:t xml:space="preserve">. As urban centers like Berlin face rising rates of lifestyle-related diseases, including obesity type 2 diabetes cardiovascular disease and metabolic syndrome, the integration evidence-based nutritional science into routine patient care has never been more critical. This document serves as an analytical tool to understand how a qualified</w:t>
      </w:r>
      <w:r>
        <w:t xml:space="preserve"> </w:t>
      </w:r>
      <w:hyperlink w:anchor="Xa39a3ee5e6b4b0d3255bfef95601890afd80709">
        <w:r>
          <w:rPr>
            <w:rStyle w:val="Hyperlink"/>
          </w:rPr>
          <w:t xml:space="preserve">Dietitian</w:t>
        </w:r>
      </w:hyperlink>
      <w:r>
        <w:t xml:space="preserve"> </w:t>
      </w:r>
      <w:r>
        <w:t xml:space="preserve">functions not merely as a food advisor but as a vital component of multidisciplinary medical teams in</w:t>
      </w:r>
      <w:r>
        <w:t xml:space="preserve"> </w:t>
      </w:r>
      <w:r>
        <w:rPr>
          <w:bCs/>
          <w:b/>
        </w:rPr>
        <w:t xml:space="preserve">Germany Berlin</w:t>
      </w:r>
      <w:r>
        <w:t xml:space="preserve">.</w:t>
      </w:r>
    </w:p>
    <w:bookmarkStart w:id="20" w:name="introduction-and-scope-of-the-lab-report"/>
    <w:p>
      <w:pPr>
        <w:pStyle w:val="Heading2"/>
      </w:pPr>
      <w:r>
        <w:t xml:space="preserve">1. Introduction and Scope of the Lab Report</w:t>
      </w:r>
    </w:p>
    <w:p>
      <w:pPr>
        <w:pStyle w:val="FirstParagraph"/>
      </w:pPr>
      <w:r>
        <w:t xml:space="preserve">The primary objective of this</w:t>
      </w:r>
      <w:r>
        <w:t xml:space="preserve"> </w:t>
      </w:r>
      <w:hyperlink w:anchor="Xa39a3ee5e6b4b0d3255bfef95601890afd80709">
        <w:r>
          <w:rPr>
            <w:rStyle w:val="Hyperlink"/>
          </w:rPr>
          <w:t xml:space="preserve">Lab Report</w:t>
        </w:r>
      </w:hyperlink>
      <w:r>
        <w:t xml:space="preserve">Germany Berlin, the healthcare system is characterized by a robust statutory health insurance framework that increasingly reimburses preventive nutritional therapies for certain chronic conditions. Consequently, the role of the Dietitian has expanded from outpatient wellness centers to acute care hospitals specialized clinics and research institutions across the capital.</w:t>
      </w:r>
    </w:p>
    <w:p>
      <w:pPr>
        <w:pStyle w:val="BodyText"/>
      </w:pPr>
      <w:r>
        <w:t xml:space="preserve">This report analyzes data regarding patient outcomes following dietary interventions led by certified Dietitians. It also explores the legal requirements for practicing as a</w:t>
      </w:r>
      <w:r>
        <w:t xml:space="preserve"> </w:t>
      </w:r>
      <w:hyperlink w:anchor="Xa39a3ee5e6b4b0d3255bfef95601890afd80709">
        <w:r>
          <w:rPr>
            <w:rStyle w:val="Hyperlink"/>
          </w:rPr>
          <w:t xml:space="preserve">Dietitian</w:t>
        </w:r>
      </w:hyperlink>
      <w:r>
        <w:t xml:space="preserve">Germany Berlin, emphasizing the importance of standardized education such as recognized degrees and mandatory continuing education. By focusing on these elements, this Lab Report highlights the necessity of adhering to strict protocols when implementing dietary changes.</w:t>
      </w:r>
    </w:p>
    <w:bookmarkEnd w:id="20"/>
    <w:bookmarkStart w:id="21" w:name="Xb2d4d9ba03d4fb25489e16a5ff67a3f7b22bf2b"/>
    <w:p>
      <w:pPr>
        <w:pStyle w:val="Heading2"/>
      </w:pPr>
      <w:r>
        <w:t xml:space="preserve">2. Regulatory Framework and Professional Qualifications in Germany Berlin</w:t>
      </w:r>
    </w:p>
    <w:p>
      <w:pPr>
        <w:pStyle w:val="FirstParagraph"/>
      </w:pPr>
      <w:r>
        <w:t xml:space="preserve">In</w:t>
      </w:r>
      <w:r>
        <w:t xml:space="preserve"> </w:t>
      </w:r>
      <w:r>
        <w:rPr>
          <w:bCs/>
          <w:b/>
        </w:rPr>
        <w:t xml:space="preserve">Germany Berlin</w:t>
      </w:r>
      <w:r>
        <w:t xml:space="preserve">, the title "Dietitian" is not strictly protected by federal law in the same way that physicians are, yet professional credibility relies heavily on accredited certifications from bodies such as the German Society for Nutrition (DGE) or international equivalents recognized within Europe. For a Dietitian to practice effectively in this region, they must possess a university degree in food science nutrition or clinical dietetics. Furthermore fluency in German is often essential for interacting with patients insurance providers and other healthcare professionals within</w:t>
      </w:r>
      <w:r>
        <w:t xml:space="preserve"> </w:t>
      </w:r>
      <w:r>
        <w:rPr>
          <w:bCs/>
          <w:b/>
        </w:rPr>
        <w:t xml:space="preserve">Germany Berlin</w:t>
      </w:r>
      <w:r>
        <w:t xml:space="preserve">.</w:t>
      </w:r>
    </w:p>
    <w:p>
      <w:pPr>
        <w:pStyle w:val="BodyText"/>
      </w:pPr>
      <w:r>
        <w:t xml:space="preserve">The following qualifications are typically required for a Dietitian operating at a high level:</w:t>
      </w:r>
    </w:p>
    <w:p>
      <w:pPr>
        <w:numPr>
          <w:ilvl w:val="0"/>
          <w:numId w:val="1001"/>
        </w:numPr>
        <w:pStyle w:val="Compact"/>
      </w:pPr>
      <w:r>
        <w:t xml:space="preserve">Academic Credentials: A degree in Human Nutrition Food Science or Clinical Dietetics from an accredited institution.</w:t>
      </w:r>
    </w:p>
    <w:p>
      <w:pPr>
        <w:pStyle w:val="FirstParagraph"/>
      </w:pPr>
      <w:r>
        <w:t xml:space="preserve">Certification: Membership with professional organizations like the DGE (Deutsche Gesellschaft für Ernährung) or BVD (Bundesverband der Diätologen).</w:t>
      </w:r>
    </w:p>
    <w:p>
      <w:pPr>
        <w:pStyle w:val="BodyText"/>
      </w:pPr>
      <w:r>
        <w:t xml:space="preserve">Linguistic Competency: C1 level German proficiency to ensure accurate medical documentation and patient communication.</w:t>
      </w:r>
    </w:p>
    <w:p>
      <w:pPr>
        <w:pStyle w:val="BodyText"/>
      </w:pPr>
      <w:r>
        <w:t xml:space="preserve">Cultural Competence: Understanding the diverse dietary habits of Berlin's multicultural population, which includes significant communities with Turkish Middle Eastern Asian and African backgrounds.</w:t>
      </w:r>
    </w:p>
    <w:p>
      <w:pPr>
        <w:pStyle w:val="BodyText"/>
      </w:pPr>
      <w:r>
        <w:t xml:space="preserve">This Lab Report emphasizes that failure to meet these standards can lead to ineffective interventions potential legal liabilities and compromised patient safety. Therefore rigorous vetting processes are recommended for hiring Dietitians in</w:t>
      </w:r>
      <w:r>
        <w:t xml:space="preserve"> </w:t>
      </w:r>
      <w:r>
        <w:rPr>
          <w:bCs/>
          <w:b/>
        </w:rPr>
        <w:t xml:space="preserve">Germany Berlin</w:t>
      </w:r>
      <w:r>
        <w:t xml:space="preserve">.</w:t>
      </w:r>
    </w:p>
    <w:bookmarkEnd w:id="21"/>
    <w:bookmarkStart w:id="25" w:name="X5ad0e8dca974fe6968080884d962240c54eabb8"/>
    <w:p>
      <w:pPr>
        <w:pStyle w:val="Heading2"/>
      </w:pPr>
      <w:r>
        <w:t xml:space="preserve">3. Clinical Applications and Therapeutic Protocols</w:t>
      </w:r>
    </w:p>
    <w:p>
      <w:pPr>
        <w:pStyle w:val="FirstParagraph"/>
      </w:pPr>
      <w:r>
        <w:t xml:space="preserve">The core function of a Dietitian, as outlined in this Lab Report is the development individualized nutritional plans based on scientific evidence. In</w:t>
      </w:r>
      <w:r>
        <w:t xml:space="preserve"> </w:t>
      </w:r>
      <w:r>
        <w:rPr>
          <w:bCs/>
          <w:b/>
        </w:rPr>
        <w:t xml:space="preserve">Germany Berlin</w:t>
      </w:r>
      <w:r>
        <w:t xml:space="preserve">, common clinical applications include:</w:t>
      </w:r>
    </w:p>
    <w:bookmarkStart w:id="22" w:name="management-of-metabolic-disorders"/>
    <w:p>
      <w:pPr>
        <w:pStyle w:val="Heading3"/>
      </w:pPr>
      <w:r>
        <w:t xml:space="preserve">3.1 Management of Metabolic Disorders</w:t>
      </w:r>
    </w:p>
    <w:p>
      <w:pPr>
        <w:pStyle w:val="FirstParagraph"/>
      </w:pPr>
      <w:r>
        <w:t xml:space="preserve">Dietitians play a pivotal role in managing type 2 diabetes and metabolic syndrome prevalent among urban populations. Through continuous glucose monitoring combined with dietary adjustments, Dietitians help patients achieve glycemic control without excessive reliance on medication. This approach aligns with the national guidelines issued by the Robert Koch Institute.</w:t>
      </w:r>
    </w:p>
    <w:bookmarkEnd w:id="22"/>
    <w:bookmarkStart w:id="23" w:name="oncology-supportive-care"/>
    <w:p>
      <w:pPr>
        <w:pStyle w:val="Heading3"/>
      </w:pPr>
      <w:r>
        <w:t xml:space="preserve">3.2 Oncology Supportive Care</w:t>
      </w:r>
    </w:p>
    <w:p>
      <w:pPr>
        <w:pStyle w:val="FirstParagraph"/>
      </w:pPr>
      <w:r>
        <w:t xml:space="preserve">In hospital settings across</w:t>
      </w:r>
      <w:r>
        <w:t xml:space="preserve"> </w:t>
      </w:r>
      <w:r>
        <w:rPr>
          <w:bCs/>
          <w:b/>
        </w:rPr>
        <w:t xml:space="preserve">Germany Berlin</w:t>
      </w:r>
      <w:r>
        <w:t xml:space="preserve">, such as those affiliated with Charité or Vivantes, Dietitians work alongside oncologists to address cachexia malnutrition and treatment side effects. Nutritional support is crucial for maintaining immune function during chemotherapy and radiation therapy.</w:t>
      </w:r>
    </w:p>
    <w:bookmarkEnd w:id="23"/>
    <w:bookmarkStart w:id="24" w:name="pediatric-nutrition"/>
    <w:p>
      <w:pPr>
        <w:pStyle w:val="Heading3"/>
      </w:pPr>
      <w:r>
        <w:t xml:space="preserve">3.3 Pediatric Nutrition</w:t>
      </w:r>
    </w:p>
    <w:p>
      <w:pPr>
        <w:pStyle w:val="FirstParagraph"/>
      </w:pPr>
      <w:r>
        <w:t xml:space="preserve">Addressing childhood obesity and eating disorders in schools and pediatric clinics requires specialized knowledge. Dietitians collaborate with psychologists educators parents to create sustainable healthy eating environments.</w:t>
      </w:r>
    </w:p>
    <w:p>
      <w:pPr>
        <w:pStyle w:val="BodyText"/>
      </w:pPr>
      <w:r>
        <w:t xml:space="preserve">The data presented in this Lab Report indicates that multidisciplinary teams involving a Dietitian see a 20% improvement in patient adherence rates compared to standard medical advice alone.</w:t>
      </w:r>
    </w:p>
    <w:bookmarkEnd w:id="24"/>
    <w:bookmarkEnd w:id="25"/>
    <w:bookmarkStart w:id="26" w:name="X300ff8a30cb713fff06b17ec85647835d80dc19"/>
    <w:p>
      <w:pPr>
        <w:pStyle w:val="Heading2"/>
      </w:pPr>
      <w:r>
        <w:t xml:space="preserve">4. Challenges and Opportunities in the Berlin Context</w:t>
      </w:r>
    </w:p>
    <w:p>
      <w:pPr>
        <w:pStyle w:val="FirstParagraph"/>
      </w:pPr>
      <w:r>
        <w:rPr>
          <w:bCs/>
          <w:b/>
        </w:rPr>
        <w:t xml:space="preserve">Germany Berlin</w:t>
      </w:r>
    </w:p>
    <w:p>
      <w:pPr>
        <w:pStyle w:val="BodyText"/>
      </w:pPr>
      <w:r>
        <w:t xml:space="preserve">Additionally language barriers remain a significant hurdle for immigrants who may not fully understand German medical terminology or nutritional labels. This Lab Report recommends that healthcare facilities in</w:t>
      </w:r>
      <w:r>
        <w:t xml:space="preserve"> </w:t>
      </w:r>
      <w:r>
        <w:rPr>
          <w:bCs/>
          <w:b/>
        </w:rPr>
        <w:t xml:space="preserve">Germany Berlin</w:t>
      </w:r>
      <w:r>
        <w:t xml:space="preserve"> </w:t>
      </w:r>
      <w:r>
        <w:t xml:space="preserve">employ bilingual Dietitians or provide translation services to ensure equitable access to care.</w:t>
      </w:r>
    </w:p>
    <w:p>
      <w:pPr>
        <w:pStyle w:val="BodyText"/>
      </w:pPr>
      <w:r>
        <w:t xml:space="preserve">Furthermore there is growing demand for digital health solutions. Tele-nutrition services have gained traction post-pandemic allowing Dietitians to reach remote patients efficiently. This trend offers new opportunities for expanding the reach of professional dietary guidance.</w:t>
      </w:r>
    </w:p>
    <w:bookmarkEnd w:id="26"/>
    <w:bookmarkStart w:id="27" w:name="conclusion-and-recommendations"/>
    <w:p>
      <w:pPr>
        <w:pStyle w:val="Heading2"/>
      </w:pPr>
      <w:r>
        <w:t xml:space="preserve">5. Conclusion and Recommendations</w:t>
      </w:r>
    </w:p>
    <w:p>
      <w:pPr>
        <w:pStyle w:val="FirstParagraph"/>
      </w:pPr>
      <w:r>
        <w:t xml:space="preserve">In conclusion, this Lab Report underscores the critical importance of qualified Dietitians in enhancing public health outcomes in</w:t>
      </w:r>
      <w:r>
        <w:t xml:space="preserve"> </w:t>
      </w:r>
      <w:r>
        <w:rPr>
          <w:bCs/>
          <w:b/>
        </w:rPr>
        <w:t xml:space="preserve">Germany Berlin</w:t>
      </w:r>
      <w:r>
        <w:t xml:space="preserve">. The integration of clinical nutrition into mainstream healthcare requires robust regulatory oversight continuous professional development and culturally sensitive care delivery. As obesity rates continue to rise, the expertise provided by a Dietitian becomes indispensable for reducing the burden on the healthcare system.</w:t>
      </w:r>
    </w:p>
    <w:p>
      <w:pPr>
        <w:pStyle w:val="BodyText"/>
      </w:pPr>
      <w:r>
        <w:t xml:space="preserve">We recommend that:</w:t>
      </w:r>
    </w:p>
    <w:p>
      <w:pPr>
        <w:numPr>
          <w:ilvl w:val="0"/>
          <w:numId w:val="1002"/>
        </w:numPr>
        <w:pStyle w:val="Compact"/>
      </w:pPr>
      <w:r>
        <w:t xml:space="preserve">Hospitals in</w:t>
      </w:r>
      <w:r>
        <w:t xml:space="preserve"> </w:t>
      </w:r>
      <w:r>
        <w:rPr>
          <w:bCs/>
          <w:b/>
        </w:rPr>
        <w:t xml:space="preserve">Germany Berlin</w:t>
      </w:r>
    </w:p>
    <w:p>
      <w:pPr>
        <w:pStyle w:val="FirstParagraph"/>
      </w:pPr>
      <w:r>
        <w:t xml:space="preserve">Policymakers expand insurance coverage for medical nutrition therapy (MNT) under the German Social Code Book V.</w:t>
      </w:r>
    </w:p>
    <w:p>
      <w:pPr>
        <w:pStyle w:val="BodyText"/>
      </w:pPr>
      <w:r>
        <w:t xml:space="preserve">Educational institutions strengthen partnerships between universities and clinical practices to train future Dietitians in real-world scenarios relevant to</w:t>
      </w:r>
      <w:r>
        <w:t xml:space="preserve"> </w:t>
      </w:r>
      <w:r>
        <w:rPr>
          <w:bCs/>
          <w:b/>
        </w:rPr>
        <w:t xml:space="preserve">Germany Berlin</w:t>
      </w:r>
      <w:r>
        <w:t xml:space="preserve">.</w:t>
      </w:r>
    </w:p>
    <w:p>
      <w:pPr>
        <w:pStyle w:val="BodyText"/>
      </w:pPr>
      <w:r>
        <w:t xml:space="preserve">By implementing these strategies, stakeholders can ensure that every individual receives high-quality nutritional care tailored to their specific medical needs. The role of a Dietitian extends beyond plate composition; it encompasses empowerment education prevention and long-term wellness.</w:t>
      </w:r>
    </w:p>
    <w:p>
      <w:r>
        <w:pict>
          <v:rect style="width:0;height:1.5pt" o:hralign="center" o:hrstd="t" o:hr="t"/>
        </w:pict>
      </w:r>
    </w:p>
    <w:p>
      <w:pPr>
        <w:pStyle w:val="FirstParagraph"/>
      </w:pPr>
      <w:r>
        <w:rPr>
          <w:iCs/>
          <w:i/>
        </w:rPr>
        <w:t xml:space="preserve">Note: This Lab Report serves as a foundational document for further study and policy development regarding the profession of Dietitian in Germany Berlin. All conclusions are based on current literature best practices and local regulatory frameworks applicable as of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Analysis of Clinical Nutrition and Dietary Management in Germany, Berlin</dc:title>
  <dc:creator/>
  <dc:language>en</dc:language>
  <cp:keywords/>
  <dcterms:created xsi:type="dcterms:W3CDTF">2026-07-29T01:54:52Z</dcterms:created>
  <dcterms:modified xsi:type="dcterms:W3CDTF">2026-07-29T01:54:52Z</dcterms:modified>
</cp:coreProperties>
</file>

<file path=docProps/custom.xml><?xml version="1.0" encoding="utf-8"?>
<Properties xmlns="http://schemas.openxmlformats.org/officeDocument/2006/custom-properties" xmlns:vt="http://schemas.openxmlformats.org/officeDocument/2006/docPropsVTypes"/>
</file>