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Protocols</w:t>
      </w:r>
      <w:r>
        <w:t xml:space="preserve"> </w:t>
      </w:r>
      <w:r>
        <w:t xml:space="preserve">for</w:t>
      </w:r>
      <w:r>
        <w:t xml:space="preserve"> </w:t>
      </w:r>
      <w:r>
        <w:t xml:space="preserve">Clinical</w:t>
      </w:r>
      <w:r>
        <w:t xml:space="preserve"> </w:t>
      </w:r>
      <w:r>
        <w:t xml:space="preserve">Dietitians</w:t>
      </w:r>
      <w:r>
        <w:t xml:space="preserve"> </w:t>
      </w:r>
      <w:r>
        <w:t xml:space="preserve">in</w:t>
      </w:r>
      <w:r>
        <w:t xml:space="preserve"> </w:t>
      </w:r>
      <w:r>
        <w:t xml:space="preserve">Germany,</w:t>
      </w:r>
      <w:r>
        <w:t xml:space="preserve"> </w:t>
      </w:r>
      <w:r>
        <w:t xml:space="preserve">Frankfurt</w:t>
      </w:r>
      <w:r>
        <w:t xml:space="preserve"> </w:t>
      </w:r>
      <w:r>
        <w:t xml:space="preserve">am</w:t>
      </w:r>
      <w:r>
        <w:t xml:space="preserve"> </w:t>
      </w:r>
      <w:r>
        <w:t xml:space="preserve">Main</w:t>
      </w:r>
    </w:p>
    <w:bookmarkStart w:id="30" w:name="X9996d45e4aa137766057e8ba28502c1cea5eebb"/>
    <w:p>
      <w:pPr>
        <w:pStyle w:val="Heading1"/>
      </w:pPr>
      <w:r>
        <w:t xml:space="preserve">Laboratory Report: Nutritional Assessment and Dietary Intervention Protocols for Clinical Dietitians in Germany, Frankfurt am Main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Frankfurt am Main, Hesse, Germany</w:t>
      </w:r>
      <w:r>
        <w:br/>
      </w:r>
      <w:r>
        <w:rPr>
          <w:bCs/>
          <w:b/>
        </w:rPr>
        <w:t xml:space="preserve">Focusing Area:</w:t>
      </w:r>
      <w:r>
        <w:t xml:space="preserve"> </w:t>
      </w:r>
      <w:r>
        <w:t xml:space="preserve">Clinical Dietitian Practice Standards and Nutritional Lab Analysis in the Frankfurt Healthcare System</w:t>
      </w:r>
    </w:p>
    <w:bookmarkStart w:id="20" w:name="introduction"/>
    <w:p>
      <w:pPr>
        <w:pStyle w:val="Heading2"/>
      </w:pPr>
      <w:r>
        <w:t xml:space="preserve">1. Introduction</w:t>
      </w:r>
    </w:p>
    <w:p>
      <w:pPr>
        <w:pStyle w:val="FirstParagraph"/>
      </w:pPr>
      <w:r>
        <w:t xml:space="preserve">The integration of scientific nutrition into clinical practice is a rapidly evolving field within the German healthcare system. This laboratory report aims to analyze the specific operational protocols, regulatory frameworks, and nutritional assessment methodologies utilized by certified</w:t>
      </w:r>
      <w:r>
        <w:t xml:space="preserve"> </w:t>
      </w:r>
      <w:r>
        <w:rPr>
          <w:bCs/>
          <w:b/>
        </w:rPr>
        <w:t xml:space="preserve">Dietitian</w:t>
      </w:r>
      <w:r>
        <w:t xml:space="preserve">s operating in Frankfurt am Main, Germany. As one of Europe's major financial hubs with a diverse population and advanced medical infrastructure, Frankfurt presents a unique case study for modern dietary management. The primary objective of this document is to outline the standard operating procedures for nutritional analysis, the legal status of</w:t>
      </w:r>
      <w:r>
        <w:t xml:space="preserve"> </w:t>
      </w:r>
      <w:r>
        <w:rPr>
          <w:bCs/>
          <w:b/>
        </w:rPr>
        <w:t xml:space="preserve">Dietitian</w:t>
      </w:r>
      <w:r>
        <w:t xml:space="preserve"> </w:t>
      </w:r>
      <w:r>
        <w:t xml:space="preserve">professions in this region, and the application of laboratory data in patient care within</w:t>
      </w:r>
      <w:r>
        <w:t xml:space="preserve"> </w:t>
      </w:r>
      <w:r>
        <w:rPr>
          <w:bCs/>
          <w:b/>
        </w:rPr>
        <w:t xml:space="preserve">Germany Frankfurt</w:t>
      </w:r>
      <w:r>
        <w:t xml:space="preserve">.</w:t>
      </w:r>
      <w:r>
        <w:t xml:space="preserve"> </w:t>
      </w:r>
      <w:r>
        <w:t xml:space="preserve">In recent years, there has been a significant shift from generic dietary advice to precision nutrition based on biochemical data. For a</w:t>
      </w:r>
      <w:r>
        <w:t xml:space="preserve"> </w:t>
      </w:r>
      <w:r>
        <w:rPr>
          <w:bCs/>
          <w:b/>
        </w:rPr>
        <w:t xml:space="preserve">Dietitian practicing in</w:t>
      </w:r>
      <w:r>
        <w:rPr>
          <w:bCs/>
          <w:b/>
        </w:rPr>
        <w:t xml:space="preserve"> </w:t>
      </w:r>
      <w:r>
        <w:rPr>
          <w:bCs/>
          <w:b/>
          <w:bCs/>
          <w:b/>
        </w:rPr>
        <w:t xml:space="preserve">Germany Frankfurt</w:t>
      </w:r>
      <w:r>
        <w:rPr>
          <w:bCs/>
          <w:b/>
        </w:rPr>
        <w:t xml:space="preserve">, the ability to interpret laboratory results—such as lipid profiles, glucose metabolism markers, and micronutrient deficiencies—is as critical as providing meal planning guidance. This report details how these elements converge in the daily practice of healthcare professionals in this specific geographic and regulatory environment.</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role of a</w:t>
      </w:r>
      <w:r>
        <w:t xml:space="preserve"> </w:t>
      </w:r>
      <w:r>
        <w:rPr>
          <w:bCs/>
          <w:b/>
        </w:rPr>
        <w:t xml:space="preserve">Dietitian</w:t>
      </w:r>
      <w:r>
        <w:t xml:space="preserve"> </w:t>
      </w:r>
      <w:r>
        <w:t xml:space="preserve">in</w:t>
      </w:r>
      <w:r>
        <w:t xml:space="preserve"> </w:t>
      </w:r>
      <w:r>
        <w:rPr>
          <w:bCs/>
          <w:b/>
        </w:rPr>
        <w:t xml:space="preserve">Germany Frankfurt</w:t>
      </w:r>
      <w:r>
        <w:t xml:space="preserve">, one must first examine the legal context defined by German health policy. Unlike some countries where "dietitian" is a protected title with strict academic requirements, Germany distinguishes between "Ernährungsberater" (nutrition counselor) and specialized clinical roles. However, hospital settings in Frankfurt, such as those affiliated with Goethe University Hospital (Universitätsklinikum Frankfurt), require</w:t>
      </w:r>
      <w:r>
        <w:t xml:space="preserve"> </w:t>
      </w:r>
      <w:r>
        <w:rPr>
          <w:bCs/>
          <w:b/>
        </w:rPr>
        <w:t xml:space="preserve">Dietitian</w:t>
      </w:r>
      <w:r>
        <w:t xml:space="preserve">s to hold recognized degrees in Human Nutrition or Food Technology.</w:t>
      </w:r>
      <w:r>
        <w:t xml:space="preserve"> </w:t>
      </w:r>
      <w:r>
        <w:t xml:space="preserve">The regulatory environment is governed by the German Social Code Book V (SGB V), which dictates how nutritional therapy is reimbursed by public health insurance providers. For a</w:t>
      </w:r>
      <w:r>
        <w:t xml:space="preserve"> </w:t>
      </w:r>
      <w:r>
        <w:rPr>
          <w:bCs/>
          <w:b/>
        </w:rPr>
        <w:t xml:space="preserve">Dietitian</w:t>
      </w:r>
      <w:r>
        <w:t xml:space="preserve"> </w:t>
      </w:r>
      <w:r>
        <w:t xml:space="preserve">to be effective in</w:t>
      </w:r>
      <w:r>
        <w:t xml:space="preserve"> </w:t>
      </w:r>
      <w:r>
        <w:rPr>
          <w:bCs/>
          <w:b/>
        </w:rPr>
        <w:t xml:space="preserve">Germany Frankfurt</w:t>
      </w:r>
      <w:r>
        <w:t xml:space="preserve">, they must navigate the "Richtlinien" (guidelines) established by the Federal Joint Committee (G-BA). These guidelines specify which medical conditions qualify for medical nutrition therapy (MNT). In Frankfurt's robust healthcare market, competition among hospitals and outpatient clinics drives</w:t>
      </w:r>
      <w:r>
        <w:t xml:space="preserve"> </w:t>
      </w:r>
      <w:r>
        <w:rPr>
          <w:bCs/>
          <w:b/>
        </w:rPr>
        <w:t xml:space="preserve">Dietitian</w:t>
      </w:r>
      <w:r>
        <w:t xml:space="preserve">s to adhere to evidence-based practices validated by peer-reviewed research.</w:t>
      </w:r>
      <w:r>
        <w:t xml:space="preserve"> </w:t>
      </w:r>
      <w:r>
        <w:t xml:space="preserve">Furthermore, data privacy under the General Data Protection Regulation (GDPR) and the German Federal Data Protection Act is strictly enforced. Any nutritional assessment involving patient data in</w:t>
      </w:r>
      <w:r>
        <w:t xml:space="preserve"> </w:t>
      </w:r>
      <w:r>
        <w:rPr>
          <w:bCs/>
          <w:b/>
        </w:rPr>
        <w:t xml:space="preserve">Germany Frankfurt</w:t>
      </w:r>
      <w:r>
        <w:t xml:space="preserve"> </w:t>
      </w:r>
      <w:r>
        <w:t xml:space="preserve">must comply with rigorous security standards, ensuring that dietary histories and lab results are handled with utmost confidentiality by the responsible</w:t>
      </w:r>
      <w:r>
        <w:t xml:space="preserve"> </w:t>
      </w:r>
      <w:r>
        <w:rPr>
          <w:bCs/>
          <w:b/>
        </w:rPr>
        <w:t xml:space="preserve">Dietitian.</w:t>
      </w:r>
    </w:p>
    <w:bookmarkEnd w:id="21"/>
    <w:bookmarkStart w:id="25" w:name="Xfb4b79e1910fe726c6fa917131ba32895a0c846"/>
    <w:p>
      <w:pPr>
        <w:pStyle w:val="Heading2"/>
      </w:pPr>
      <w:r>
        <w:t xml:space="preserve">3. Methodology: Nutritional Laboratory Assessments</w:t>
      </w:r>
    </w:p>
    <w:p>
      <w:pPr>
        <w:pStyle w:val="FirstParagraph"/>
      </w:pPr>
      <w:r>
        <w:t xml:space="preserve">The core of this report focuses on the laboratory aspect of nutritional care. In Frankfurt's clinical settings, the role of the</w:t>
      </w:r>
      <w:r>
        <w:t xml:space="preserve"> </w:t>
      </w:r>
      <w:r>
        <w:rPr>
          <w:bCs/>
          <w:b/>
        </w:rPr>
        <w:t xml:space="preserve">Dietitian</w:t>
      </w:r>
      <w:r>
        <w:t xml:space="preserve"> </w:t>
      </w:r>
      <w:r>
        <w:t xml:space="preserve">is deeply intertwined with laboratory medicine. The following methodologies are standard for analyzing patient data:</w:t>
      </w:r>
    </w:p>
    <w:bookmarkStart w:id="22" w:name="biochemical-blood-analysis"/>
    <w:p>
      <w:pPr>
        <w:pStyle w:val="Heading3"/>
      </w:pPr>
      <w:r>
        <w:t xml:space="preserve">3.1 Biochemical Blood Analysis</w:t>
      </w:r>
    </w:p>
    <w:p>
      <w:pPr>
        <w:pStyle w:val="FirstParagraph"/>
      </w:pPr>
      <w:r>
        <w:t xml:space="preserve">When a</w:t>
      </w:r>
      <w:r>
        <w:t xml:space="preserve"> </w:t>
      </w:r>
      <w:r>
        <w:rPr>
          <w:bCs/>
          <w:b/>
        </w:rPr>
        <w:t xml:space="preserve">Dietitian in</w:t>
      </w:r>
      <w:r>
        <w:rPr>
          <w:bCs/>
          <w:b/>
        </w:rPr>
        <w:t xml:space="preserve"> </w:t>
      </w:r>
      <w:r>
        <w:rPr>
          <w:bCs/>
          <w:b/>
          <w:bCs/>
          <w:b/>
        </w:rPr>
        <w:t xml:space="preserve">Germany Frankfurt</w:t>
      </w:r>
      <w:r>
        <w:rPr>
          <w:bCs/>
          <w:b/>
        </w:rPr>
        <w:t xml:space="preserve"> </w:t>
      </w:r>
      <w:r>
        <w:rPr>
          <w:bCs/>
          <w:b/>
        </w:rPr>
        <w:t xml:space="preserve">initiates an intervention for metabolic disorders such as Type 2 Diabetes or Hyperlipidemia, they rely heavily on blood work. Key markers analyzed include:</w:t>
      </w:r>
    </w:p>
    <w:p>
      <w:pPr>
        <w:numPr>
          <w:ilvl w:val="0"/>
          <w:numId w:val="1001"/>
        </w:numPr>
        <w:pStyle w:val="Compact"/>
      </w:pPr>
      <w:r>
        <w:t xml:space="preserve">HbA1c (Glycated Hemoglobin): Used to monitor long-term glucose control.</w:t>
      </w:r>
    </w:p>
    <w:p>
      <w:pPr>
        <w:numPr>
          <w:ilvl w:val="0"/>
          <w:numId w:val="1001"/>
        </w:numPr>
        <w:pStyle w:val="Compact"/>
      </w:pPr>
      <w:r>
        <w:rPr>
          <w:bCs/>
          <w:b/>
        </w:rPr>
        <w:t xml:space="preserve">Lipid Profile:</w:t>
      </w:r>
      <w:r>
        <w:t xml:space="preserve"> </w:t>
      </w:r>
      <w:r>
        <w:t xml:space="preserve">Total cholesterol, LDL, HDL, and triglycerides are critical for cardiovascular risk assessment. In Frankfurt's high-stress corporate environment, cardiovascular health is a primary concern for the</w:t>
      </w:r>
    </w:p>
    <w:p>
      <w:pPr>
        <w:numPr>
          <w:ilvl w:val="0"/>
          <w:numId w:val="1000"/>
        </w:numPr>
        <w:pStyle w:val="Compact"/>
      </w:pPr>
      <w:r>
        <w:t xml:space="preserve">Dietitian.</w:t>
      </w:r>
    </w:p>
    <w:p>
      <w:pPr>
        <w:numPr>
          <w:ilvl w:val="0"/>
          <w:numId w:val="1001"/>
        </w:numPr>
        <w:pStyle w:val="Compact"/>
      </w:pPr>
      <w:r>
        <w:rPr>
          <w:bCs/>
          <w:b/>
        </w:rPr>
        <w:t xml:space="preserve">Vitamin D Levels (25-OH-Vitamin D):</w:t>
      </w:r>
      <w:r>
        <w:t xml:space="preserve"> </w:t>
      </w:r>
      <w:r>
        <w:t xml:space="preserve">Given the limited sunlight in Central Europe during winter months, deficiencies are common. A skilled</w:t>
      </w:r>
    </w:p>
    <w:p>
      <w:pPr>
        <w:numPr>
          <w:ilvl w:val="0"/>
          <w:numId w:val="1000"/>
        </w:numPr>
        <w:pStyle w:val="Compact"/>
      </w:pPr>
      <w:r>
        <w:t xml:space="preserve">Dietitian must interpret these lab results to recommend appropriate supplementation or dietary changes.</w:t>
      </w:r>
    </w:p>
    <w:p>
      <w:pPr>
        <w:numPr>
          <w:ilvl w:val="0"/>
          <w:numId w:val="1001"/>
        </w:numPr>
        <w:pStyle w:val="Compact"/>
      </w:pPr>
      <w:r>
        <w:rPr>
          <w:bCs/>
          <w:b/>
        </w:rPr>
        <w:t xml:space="preserve">C-Reactive Protein (CRP):</w:t>
      </w:r>
      <w:r>
        <w:t xml:space="preserve"> </w:t>
      </w:r>
      <w:r>
        <w:t xml:space="preserve">An indicator of inflammation, useful in managing autoimmune conditions through anti-inflammatory diets.</w:t>
      </w:r>
    </w:p>
    <w:bookmarkEnd w:id="22"/>
    <w:bookmarkStart w:id="23" w:name="body-composition-analysis"/>
    <w:p>
      <w:pPr>
        <w:pStyle w:val="Heading3"/>
      </w:pPr>
      <w:r>
        <w:t xml:space="preserve">3.2 Body Composition Analysis</w:t>
      </w:r>
    </w:p>
    <w:p>
      <w:pPr>
        <w:pStyle w:val="FirstParagraph"/>
      </w:pPr>
      <w:r>
        <w:t xml:space="preserve">Beyond blood tests, physical laboratory assessments are conducted using bioelectrical impedance analysis (BIA) or DEXA scans in major clinics.</w:t>
      </w:r>
      <w:r>
        <w:t xml:space="preserve"> </w:t>
      </w:r>
      <w:r>
        <w:rPr>
          <w:bCs/>
          <w:b/>
        </w:rPr>
        <w:t xml:space="preserve">Dietitian</w:t>
      </w:r>
      <w:r>
        <w:t xml:space="preserve">s use this data to calculate Basal Metabolic Rate (BMR) and Total Daily Energy Expenditure (TDEE). In</w:t>
      </w:r>
      <w:r>
        <w:t xml:space="preserve"> </w:t>
      </w:r>
      <w:r>
        <w:rPr>
          <w:bCs/>
          <w:b/>
        </w:rPr>
        <w:t xml:space="preserve">Germany Frankfurt, where obesity rates are rising but so is health consciousness, these precise measurements allow for personalized calorie prescriptions rather than generic estimates.</w:t>
      </w:r>
    </w:p>
    <w:bookmarkEnd w:id="23"/>
    <w:bookmarkStart w:id="24" w:name="dietary-record-analysis"/>
    <w:p>
      <w:pPr>
        <w:pStyle w:val="Heading3"/>
      </w:pPr>
      <w:r>
        <w:t xml:space="preserve">3.3 Dietary Record Analysis</w:t>
      </w:r>
    </w:p>
    <w:p>
      <w:pPr>
        <w:pStyle w:val="FirstParagraph"/>
      </w:pPr>
      <w:r>
        <w:t xml:space="preserve">The laboratory component also extends to the analysis of dietary intake data using software such as ErnährSoft or FoodCheck, which are widely used in</w:t>
      </w:r>
      <w:r>
        <w:t xml:space="preserve"> </w:t>
      </w:r>
      <w:r>
        <w:rPr>
          <w:bCs/>
          <w:b/>
        </w:rPr>
        <w:t xml:space="preserve">Germany Frankfurt</w:t>
      </w:r>
      <w:r>
        <w:t xml:space="preserve">. These programs analyze macronutrient distribution and micronutrient adequacy based on user-inputted food diaries. The</w:t>
      </w:r>
      <w:r>
        <w:t xml:space="preserve"> </w:t>
      </w:r>
      <w:r>
        <w:rPr>
          <w:bCs/>
          <w:b/>
        </w:rPr>
        <w:t xml:space="preserve">Dietitian reviews these reports to identify gaps in nutrient intake that may not be immediately apparent through blood work alone.</w:t>
      </w:r>
    </w:p>
    <w:bookmarkEnd w:id="24"/>
    <w:bookmarkEnd w:id="25"/>
    <w:bookmarkStart w:id="26" w:name="results-application-in-clinical-practice"/>
    <w:p>
      <w:pPr>
        <w:pStyle w:val="Heading2"/>
      </w:pPr>
      <w:r>
        <w:t xml:space="preserve">4. Results: Application in Clinical Practice</w:t>
      </w:r>
    </w:p>
    <w:p>
      <w:pPr>
        <w:pStyle w:val="FirstParagraph"/>
      </w:pPr>
      <w:r>
        <w:t xml:space="preserve">The integration of laboratory data into the practice of a</w:t>
      </w:r>
      <w:r>
        <w:t xml:space="preserve"> </w:t>
      </w:r>
      <w:r>
        <w:rPr>
          <w:bCs/>
          <w:b/>
        </w:rPr>
        <w:t xml:space="preserve">Dietitian</w:t>
      </w:r>
      <w:r>
        <w:t xml:space="preserve"> </w:t>
      </w:r>
      <w:r>
        <w:t xml:space="preserve">in</w:t>
      </w:r>
      <w:r>
        <w:t xml:space="preserve"> </w:t>
      </w:r>
      <w:r>
        <w:rPr>
          <w:bCs/>
          <w:b/>
        </w:rPr>
        <w:t xml:space="preserve">Germany Frankfurt</w:t>
      </w:r>
      <w:r>
        <w:t xml:space="preserve"> </w:t>
      </w:r>
      <w:r>
        <w:t xml:space="preserve">yields significant clinical outcomes. Case studies from local hospitals indicate that patients receiving MNT guided by detailed lab interpretations show faster improvement in metabolic markers compared to those receiving standard advice.</w:t>
      </w:r>
      <w:r>
        <w:t xml:space="preserve"> </w:t>
      </w:r>
      <w:r>
        <w:t xml:space="preserve">For instance, in the management of non-alcoholic fatty liver disease (NAFLD), a common condition in urban centers like</w:t>
      </w:r>
      <w:r>
        <w:t xml:space="preserve"> </w:t>
      </w:r>
      <w:r>
        <w:rPr>
          <w:bCs/>
          <w:b/>
        </w:rPr>
        <w:t xml:space="preserve">Germany Frankfurt, the</w:t>
      </w:r>
      <w:r>
        <w:rPr>
          <w:bCs/>
          <w:b/>
        </w:rPr>
        <w:t xml:space="preserve"> </w:t>
      </w:r>
      <w:r>
        <w:rPr>
          <w:bCs/>
          <w:b/>
          <w:bCs/>
          <w:b/>
        </w:rPr>
        <w:t xml:space="preserve">Dietitian correlates ALT/AST enzyme levels with dietary fat intake. By adjusting the diet based on these laboratory trends, significant reductions in liver enzymes can be achieved within three to six months.</w:t>
      </w:r>
      <w:r>
        <w:rPr>
          <w:bCs/>
          <w:b/>
          <w:bCs/>
          <w:b/>
        </w:rPr>
        <w:t xml:space="preserve"> </w:t>
      </w:r>
      <w:r>
        <w:rPr>
          <w:bCs/>
          <w:b/>
          <w:bCs/>
          <w:b/>
        </w:rPr>
        <w:t xml:space="preserve">Moreover, the multicultural demographic of Frankfurt requires</w:t>
      </w:r>
      <w:r>
        <w:rPr>
          <w:bCs/>
          <w:b/>
          <w:bCs/>
          <w:b/>
        </w:rPr>
        <w:t xml:space="preserve"> </w:t>
      </w:r>
      <w:r>
        <w:rPr>
          <w:bCs/>
          <w:b/>
          <w:bCs/>
          <w:b/>
          <w:bCs/>
          <w:b/>
        </w:rPr>
        <w:t xml:space="preserve">Dietitians to adapt standard lab-based protocols to diverse cultural cuisines. A patient of Turkish or Middle Eastern descent may have traditional diets high in specific fats or sugars. The</w:t>
      </w:r>
      <w:r>
        <w:rPr>
          <w:bCs/>
          <w:b/>
          <w:bCs/>
          <w:b/>
          <w:bCs/>
          <w:b/>
        </w:rPr>
        <w:t xml:space="preserve"> </w:t>
      </w:r>
      <w:r>
        <w:rPr>
          <w:bCs/>
          <w:b/>
          <w:bCs/>
          <w:b/>
          <w:bCs/>
          <w:b/>
          <w:bCs/>
          <w:b/>
        </w:rPr>
        <w:t xml:space="preserve">Dietitian must analyze the nutritional content of these traditional meals and adjust them to meet laboratory-derived health targets without alienating the patient culturally.</w:t>
      </w:r>
    </w:p>
    <w:bookmarkEnd w:id="26"/>
    <w:bookmarkStart w:id="27" w:name="discussion"/>
    <w:p>
      <w:pPr>
        <w:pStyle w:val="Heading2"/>
      </w:pPr>
      <w:r>
        <w:t xml:space="preserve">5. Discussion</w:t>
      </w:r>
    </w:p>
    <w:p>
      <w:pPr>
        <w:pStyle w:val="FirstParagraph"/>
      </w:pPr>
      <w:r>
        <w:t xml:space="preserve">The efficacy of a</w:t>
      </w:r>
      <w:r>
        <w:t xml:space="preserve"> </w:t>
      </w:r>
      <w:r>
        <w:rPr>
          <w:bCs/>
          <w:b/>
        </w:rPr>
        <w:t xml:space="preserve">Dietitian</w:t>
      </w:r>
      <w:r>
        <w:t xml:space="preserve"> </w:t>
      </w:r>
      <w:r>
        <w:t xml:space="preserve">is largely dependent on their ability to bridge the gap between clinical pathology and daily food choices. In</w:t>
      </w:r>
      <w:r>
        <w:t xml:space="preserve"> </w:t>
      </w:r>
      <w:r>
        <w:rPr>
          <w:bCs/>
          <w:b/>
        </w:rPr>
        <w:t xml:space="preserve">Germany Frankfurt, this bridge is strengthened by high access to advanced diagnostic laboratories. However, challenges remain, including time constraints in busy hospital environments and varying levels of digital literacy among older patients who may struggle with online dietary tracking tools required by modern labs.</w:t>
      </w:r>
      <w:r>
        <w:rPr>
          <w:bCs/>
          <w:b/>
        </w:rPr>
        <w:t xml:space="preserve"> </w:t>
      </w:r>
      <w:r>
        <w:rPr>
          <w:bCs/>
          <w:b/>
        </w:rPr>
        <w:t xml:space="preserve">Additionally, the role of the</w:t>
      </w:r>
      <w:r>
        <w:rPr>
          <w:bCs/>
          <w:b/>
        </w:rPr>
        <w:t xml:space="preserve"> </w:t>
      </w:r>
      <w:r>
        <w:rPr>
          <w:bCs/>
          <w:b/>
          <w:bCs/>
          <w:b/>
        </w:rPr>
        <w:t xml:space="preserve">Dietitian</w:t>
      </w:r>
      <w:r>
        <w:rPr>
          <w:bCs/>
          <w:b/>
        </w:rPr>
        <w:t xml:space="preserve"> </w:t>
      </w:r>
      <w:r>
        <w:rPr>
          <w:bCs/>
          <w:b/>
        </w:rPr>
        <w:t xml:space="preserve">is expanding into preventative health for corporate clients in Frankfurt's financial sector. Companies are increasingly hiring on-site or consulting</w:t>
      </w:r>
      <w:r>
        <w:rPr>
          <w:bCs/>
          <w:b/>
        </w:rPr>
        <w:t xml:space="preserve"> </w:t>
      </w:r>
      <w:r>
        <w:rPr>
          <w:bCs/>
          <w:b/>
          <w:bCs/>
          <w:b/>
        </w:rPr>
        <w:t xml:space="preserve">Dietitians to reduce healthcare costs by improving employee metabolic health based on annual lab screenings. This trend highlights the growing economic value of evidence-based nutritional counseling in urban German centers.</w:t>
      </w:r>
    </w:p>
    <w:bookmarkEnd w:id="27"/>
    <w:bookmarkStart w:id="28" w:name="conclusion"/>
    <w:p>
      <w:pPr>
        <w:pStyle w:val="Heading2"/>
      </w:pPr>
      <w:r>
        <w:t xml:space="preserve">6. Conclusion</w:t>
      </w:r>
    </w:p>
    <w:p>
      <w:pPr>
        <w:pStyle w:val="FirstParagraph"/>
      </w:pPr>
      <w:r>
        <w:t xml:space="preserve">This laboratory report confirms that the practice of a</w:t>
      </w:r>
      <w:r>
        <w:t xml:space="preserve"> </w:t>
      </w:r>
      <w:r>
        <w:rPr>
          <w:bCs/>
          <w:b/>
        </w:rPr>
        <w:t xml:space="preserve">Dietitian</w:t>
      </w:r>
      <w:r>
        <w:t xml:space="preserve"> </w:t>
      </w:r>
      <w:r>
        <w:t xml:space="preserve">in</w:t>
      </w:r>
      <w:r>
        <w:t xml:space="preserve"> </w:t>
      </w:r>
      <w:r>
        <w:rPr>
          <w:bCs/>
          <w:b/>
        </w:rPr>
        <w:t xml:space="preserve">Germany Frankfurt is a sophisticated, data-driven profession. It requires not only culinary and nutritional knowledge but also proficiency in interpreting complex laboratory results and navigating strict German regulatory frameworks. The synergy between clinical laboratories and dietary intervention is essential for treating chronic diseases prevalent in modern society.</w:t>
      </w:r>
      <w:r>
        <w:rPr>
          <w:bCs/>
          <w:b/>
        </w:rPr>
        <w:t xml:space="preserve"> </w:t>
      </w:r>
      <w:r>
        <w:rPr>
          <w:bCs/>
          <w:b/>
        </w:rPr>
        <w:t xml:space="preserve">As healthcare continues to evolve, the</w:t>
      </w:r>
      <w:r>
        <w:rPr>
          <w:bCs/>
          <w:b/>
        </w:rPr>
        <w:t xml:space="preserve"> </w:t>
      </w:r>
      <w:r>
        <w:rPr>
          <w:bCs/>
          <w:b/>
          <w:bCs/>
          <w:b/>
        </w:rPr>
        <w:t xml:space="preserve">Dietitian</w:t>
      </w:r>
      <w:r>
        <w:rPr>
          <w:bCs/>
          <w:b/>
        </w:rPr>
        <w:t xml:space="preserve"> </w:t>
      </w:r>
      <w:r>
        <w:rPr>
          <w:bCs/>
          <w:b/>
        </w:rPr>
        <w:t xml:space="preserve">will remain a pivotal figure in</w:t>
      </w:r>
      <w:r>
        <w:rPr>
          <w:bCs/>
          <w:b/>
        </w:rPr>
        <w:t xml:space="preserve"> </w:t>
      </w:r>
      <w:r>
        <w:rPr>
          <w:bCs/>
          <w:b/>
          <w:bCs/>
          <w:b/>
        </w:rPr>
        <w:t xml:space="preserve">Germany Frankfurt, utilizing laboratory insights to provide personalized, effective, and legally compliant nutritional care. Future research should focus on the long-term impact of digital health integration in Frankfurt's dietetic practices and its effect on patient adherence and biochemical outcomes.</w:t>
      </w:r>
    </w:p>
    <w:bookmarkEnd w:id="28"/>
    <w:bookmarkStart w:id="29" w:name="references"/>
    <w:p>
      <w:pPr>
        <w:pStyle w:val="Heading2"/>
      </w:pPr>
      <w:r>
        <w:t xml:space="preserve">7. References</w:t>
      </w:r>
    </w:p>
    <w:p>
      <w:pPr>
        <w:numPr>
          <w:ilvl w:val="0"/>
          <w:numId w:val="1002"/>
        </w:numPr>
        <w:pStyle w:val="Compact"/>
      </w:pPr>
      <w:r>
        <w:t xml:space="preserve">Bundesinstitut für Risikobewertung (BfR). (2023).</w:t>
      </w:r>
      <w:r>
        <w:t xml:space="preserve"> </w:t>
      </w:r>
      <w:r>
        <w:rPr>
          <w:iCs/>
          <w:i/>
        </w:rPr>
        <w:t xml:space="preserve">Nutrient Requirements and Dietary Guidelines in Germany.</w:t>
      </w:r>
    </w:p>
    <w:p>
      <w:pPr>
        <w:numPr>
          <w:ilvl w:val="0"/>
          <w:numId w:val="1002"/>
        </w:numPr>
        <w:pStyle w:val="Compact"/>
      </w:pPr>
      <w:r>
        <w:t xml:space="preserve">Gesetzliche Krankenversicherung. (2023).</w:t>
      </w:r>
      <w:r>
        <w:t xml:space="preserve"> </w:t>
      </w:r>
      <w:r>
        <w:rPr>
          <w:iCs/>
          <w:i/>
        </w:rPr>
        <w:t xml:space="preserve">Richtlinien zur Medizinischen Ernährungstherapie.</w:t>
      </w:r>
    </w:p>
    <w:p>
      <w:pPr>
        <w:numPr>
          <w:ilvl w:val="0"/>
          <w:numId w:val="1002"/>
        </w:numPr>
        <w:pStyle w:val="Compact"/>
      </w:pPr>
      <w:r>
        <w:t xml:space="preserve">Universitätsklinikum Frankfurt. (2022).</w:t>
      </w:r>
      <w:r>
        <w:t xml:space="preserve"> </w:t>
      </w:r>
      <w:r>
        <w:rPr>
          <w:iCs/>
          <w:i/>
        </w:rPr>
        <w:t xml:space="preserve">Clinical Nutrition Department Annual Report: Patient Outcomes and Lab Correlations.</w:t>
      </w:r>
    </w:p>
    <w:p>
      <w:pPr>
        <w:numPr>
          <w:ilvl w:val="0"/>
          <w:numId w:val="1002"/>
        </w:numPr>
        <w:pStyle w:val="Compact"/>
      </w:pPr>
      <w:r>
        <w:t xml:space="preserve">DGE (Deutsche Gesellschaft für Ernährung). (2023).</w:t>
      </w:r>
      <w:r>
        <w:t xml:space="preserve"> </w:t>
      </w:r>
      <w:r>
        <w:rPr>
          <w:iCs/>
          <w:i/>
        </w:rPr>
        <w:t xml:space="preserve">DACH Reference Values for Nutrient Intake.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Dietary Intervention Protocols for Clinical Dietitians in Germany, Frankfurt am Main</dc:title>
  <dc:creator/>
  <cp:keywords/>
  <dcterms:created xsi:type="dcterms:W3CDTF">2026-07-29T06:13:17Z</dcterms:created>
  <dcterms:modified xsi:type="dcterms:W3CDTF">2026-07-29T06:13:17Z</dcterms:modified>
</cp:coreProperties>
</file>

<file path=docProps/custom.xml><?xml version="1.0" encoding="utf-8"?>
<Properties xmlns="http://schemas.openxmlformats.org/officeDocument/2006/custom-properties" xmlns:vt="http://schemas.openxmlformats.org/officeDocument/2006/docPropsVTypes"/>
</file>