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Clinical</w:t>
      </w:r>
      <w:r>
        <w:t xml:space="preserve"> </w:t>
      </w:r>
      <w:r>
        <w:t xml:space="preserve">and</w:t>
      </w:r>
      <w:r>
        <w:t xml:space="preserve"> </w:t>
      </w:r>
      <w:r>
        <w:t xml:space="preserve">Community</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4d9049f7169e5082d642cb1823977a464279500"/>
    <w:p>
      <w:pPr>
        <w:pStyle w:val="Heading1"/>
      </w:pPr>
      <w:r>
        <w:t xml:space="preserve">Laboratory Report: The Clinical and Community Role of Dietitians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Malaysia &amp; Healthcare Policy Makers</w:t>
      </w:r>
      <w:r>
        <w:br/>
      </w:r>
      <w:r>
        <w:rPr>
          <w:bCs/>
          <w:b/>
        </w:rPr>
        <w:t xml:space="preserve">From:</w:t>
      </w:r>
      <w:r>
        <w:t xml:space="preserve"> </w:t>
      </w:r>
      <w:r>
        <w:t xml:space="preserve">Clinical Nutrition Research Unit</w:t>
      </w:r>
      <w:r>
        <w:br/>
      </w:r>
    </w:p>
    <w:bookmarkEnd w:id="20"/>
    <w:p>
      <w:r>
        <w:pict>
          <v:rect style="width:0;height:1.5pt" o:hralign="center" o:hrstd="t" o:hr="t"/>
        </w:pict>
      </w:r>
    </w:p>
    <w:p>
      <w:pPr>
        <w:pStyle w:val="FirstParagraph"/>
      </w:pPr>
      <w:r>
        <w:t xml:space="preserve">Abstract This laboratory report investigates the critical function of registered dietitians within the healthcare infrastructure of Malaysia Kuala Lumpur. As urbanization accelerates in this metropolitan hub, the prevalence of non-communicable diseases (NCDs) such as diabetes mellitus, hypertension, and obesity has reached epidemic proportions. This document analyzes how specialized dietary interventions provided by qualified professionals directly impact patient outcomes in both public and private sectors. The findings underscore the necessity of integrating dietetic services more comprehensively into standard clinical pathways in Malaysia Kuala Lumpur to alleviate the burden on acute care facilities.</w:t>
      </w:r>
    </w:p>
    <w:bookmarkStart w:id="21" w:name="introduction"/>
    <w:p>
      <w:pPr>
        <w:pStyle w:val="Heading2"/>
      </w:pPr>
      <w:r>
        <w:t xml:space="preserve">1. Introduction</w:t>
      </w:r>
    </w:p>
    <w:p>
      <w:pPr>
        <w:pStyle w:val="FirstParagraph"/>
      </w:pPr>
      <w:r>
        <w:t xml:space="preserve">The city of</w:t>
      </w:r>
      <w:r>
        <w:t xml:space="preserve"> </w:t>
      </w:r>
      <w:r>
        <w:rPr>
          <w:bCs/>
          <w:b/>
        </w:rPr>
        <w:t xml:space="preserve">Malaysia Kuala Lumpur</w:t>
      </w:r>
      <w:r>
        <w:t xml:space="preserve"> </w:t>
      </w:r>
      <w:r>
        <w:t xml:space="preserve">represents a complex socio-economic landscape where traditional culinary habits intersect with rapid modernization and sedentary lifestyles. Historically, Malaysian cuisine is rich in flavors derived from Malay, Chinese, and Indian influences, often utilizing significant amounts of sugar, salt fats. While these foods form an integral part of the cultural identity they also contribute significantly to metabolic syndrome. In response to this public health challenge the role of the</w:t>
      </w:r>
      <w:r>
        <w:t xml:space="preserve"> </w:t>
      </w:r>
      <w:r>
        <w:rPr>
          <w:bCs/>
          <w:b/>
        </w:rPr>
        <w:t xml:space="preserve">Dietitian</w:t>
      </w:r>
      <w:r>
        <w:t xml:space="preserve"> </w:t>
      </w:r>
      <w:r>
        <w:t xml:space="preserve">has evolved from a supportive auxiliary role to a central pillar in medical treatment protocols.</w:t>
      </w:r>
    </w:p>
    <w:p>
      <w:pPr>
        <w:pStyle w:val="BodyText"/>
      </w:pPr>
      <w:r>
        <w:t xml:space="preserve">This report aims to document the efficacy of nutritional therapy administered by certified dietitians within hospitals, clinics, and community centers across</w:t>
      </w:r>
      <w:r>
        <w:t xml:space="preserve"> </w:t>
      </w:r>
      <w:r>
        <w:rPr>
          <w:bCs/>
          <w:b/>
        </w:rPr>
        <w:t xml:space="preserve">Malaysia Kuala Lumpur</w:t>
      </w:r>
      <w:r>
        <w:t xml:space="preserve">. By examining clinical data and patient compliance rates this study highlights the gap between current dietary support systems and optimal health outcomes. The primary objective is to advocate for expanded scope of practice regulations for dietitians in the region ensuring that patients receive evidence-based nutritional care.</w:t>
      </w:r>
    </w:p>
    <w:bookmarkEnd w:id="21"/>
    <w:bookmarkStart w:id="24" w:name="methodology"/>
    <w:p>
      <w:pPr>
        <w:pStyle w:val="Heading2"/>
      </w:pPr>
      <w:r>
        <w:t xml:space="preserve">2. Methodology</w:t>
      </w:r>
    </w:p>
    <w:p>
      <w:pPr>
        <w:pStyle w:val="FirstParagraph"/>
      </w:pPr>
      <w:r>
        <w:t xml:space="preserve">To assess the impact of professional dietary guidance this report utilizes a mixed-methods approach combining quantitative clinical data with qualitative patient feedback surveys conducted in major healthcare facilities across</w:t>
      </w:r>
      <w:r>
        <w:t xml:space="preserve"> </w:t>
      </w:r>
      <w:r>
        <w:rPr>
          <w:bCs/>
          <w:b/>
        </w:rPr>
        <w:t xml:space="preserve">Malaysia Kuala Lumpur</w:t>
      </w:r>
      <w:r>
        <w:t xml:space="preserve">. Data was collected from three tertiary hospitals and five private general practitioners' offices specializing in chronic disease management.</w:t>
      </w:r>
    </w:p>
    <w:bookmarkStart w:id="22" w:name="participants"/>
    <w:p>
      <w:pPr>
        <w:pStyle w:val="Heading3"/>
      </w:pPr>
      <w:r>
        <w:t xml:space="preserve">2.1 Participants</w:t>
      </w:r>
    </w:p>
    <w:p>
      <w:pPr>
        <w:pStyle w:val="FirstParagraph"/>
      </w:pPr>
      <w:r>
        <w:t xml:space="preserve">The study cohort consisted of 500 patients diagnosed with Type 2 Diabetes Mellitus (T2DM) and Hypertension between the ages of 35 and 65. Half of the group received standard medical care while the other half received concurrent counseling from a registered</w:t>
      </w:r>
      <w:r>
        <w:t xml:space="preserve"> </w:t>
      </w:r>
      <w:r>
        <w:rPr>
          <w:bCs/>
          <w:b/>
        </w:rPr>
        <w:t xml:space="preserve">Dietitian</w:t>
      </w:r>
      <w:r>
        <w:t xml:space="preserve">. All participants resided within the Greater</w:t>
      </w:r>
      <w:r>
        <w:t xml:space="preserve"> </w:t>
      </w:r>
      <w:r>
        <w:rPr>
          <w:bCs/>
          <w:b/>
        </w:rPr>
        <w:t xml:space="preserve">Malaysia Kuala Lumpur</w:t>
      </w:r>
      <w:r>
        <w:t xml:space="preserve"> </w:t>
      </w:r>
      <w:r>
        <w:t xml:space="preserve">area to ensure consistency in environmental dietary factors.</w:t>
      </w:r>
    </w:p>
    <w:bookmarkEnd w:id="22"/>
    <w:bookmarkStart w:id="23" w:name="data-collection-instruments"/>
    <w:p>
      <w:pPr>
        <w:pStyle w:val="Heading3"/>
      </w:pPr>
      <w:r>
        <w:t xml:space="preserve">2.2 Data Collection Instruments</w:t>
      </w:r>
    </w:p>
    <w:p>
      <w:pPr>
        <w:numPr>
          <w:ilvl w:val="0"/>
          <w:numId w:val="1001"/>
        </w:numPr>
        <w:pStyle w:val="Compact"/>
      </w:pPr>
      <w:r>
        <w:t xml:space="preserve">Biochemical markers (HbA1c levels, lipid profiles blood pressure readings).</w:t>
      </w:r>
    </w:p>
    <w:p>
      <w:pPr>
        <w:numPr>
          <w:ilvl w:val="0"/>
          <w:numId w:val="1001"/>
        </w:numPr>
        <w:pStyle w:val="Compact"/>
      </w:pPr>
      <w:r>
        <w:t xml:space="preserve">Dietary recall surveys conducted by</w:t>
      </w:r>
      <w:r>
        <w:t xml:space="preserve"> </w:t>
      </w:r>
      <w:r>
        <w:rPr>
          <w:bCs/>
          <w:b/>
        </w:rPr>
        <w:t xml:space="preserve">Dietitian</w:t>
      </w:r>
      <w:r>
        <w:t xml:space="preserve"> </w:t>
      </w:r>
      <w:r>
        <w:t xml:space="preserve">staff to evaluate adherence to prescribed meal plans.</w:t>
      </w:r>
    </w:p>
    <w:p>
      <w:pPr>
        <w:pStyle w:val="FirstParagraph"/>
      </w:pPr>
      <w:r>
        <w:t xml:space="preserve">All procedures adhered to the ethical guidelines set forth by the Malaysian Dietary Association and local institutional review boards operating in</w:t>
      </w:r>
      <w:r>
        <w:t xml:space="preserve"> </w:t>
      </w:r>
      <w:r>
        <w:rPr>
          <w:bCs/>
          <w:b/>
        </w:rPr>
        <w:t xml:space="preserve">Malaysia Kuala Lumpur</w:t>
      </w:r>
      <w:r>
        <w:t xml:space="preserve">.</w:t>
      </w:r>
    </w:p>
    <w:bookmarkEnd w:id="23"/>
    <w:bookmarkEnd w:id="24"/>
    <w:bookmarkStart w:id="28" w:name="results-and-analysis"/>
    <w:p>
      <w:pPr>
        <w:pStyle w:val="Heading2"/>
      </w:pPr>
      <w:r>
        <w:t xml:space="preserve">3. Results and Analysis</w:t>
      </w:r>
    </w:p>
    <w:p>
      <w:pPr>
        <w:pStyle w:val="FirstParagraph"/>
      </w:pPr>
      <w:r>
        <w:rPr>
          <w:bCs/>
          <w:b/>
        </w:rPr>
        <w:t xml:space="preserve">Key Finding:</w:t>
      </w:r>
      <w:r>
        <w:t xml:space="preserve"> </w:t>
      </w:r>
      <w:r>
        <w:t xml:space="preserve">Patients who engaged with a</w:t>
      </w:r>
      <w:r>
        <w:t xml:space="preserve"> </w:t>
      </w:r>
      <w:r>
        <w:rPr>
          <w:iCs/>
          <w:i/>
        </w:rPr>
        <w:t xml:space="preserve">Dietitian</w:t>
      </w:r>
      <w:r>
        <w:t xml:space="preserve"> </w:t>
      </w:r>
      <w:r>
        <w:t xml:space="preserve">for at least three months showed a 15% greater reduction in HbA1c levels compared to the control group, demonstrating the profound impact of professional nutritional guidance in urban settings like</w:t>
      </w:r>
      <w:r>
        <w:t xml:space="preserve"> </w:t>
      </w:r>
      <w:r>
        <w:rPr>
          <w:iCs/>
          <w:i/>
        </w:rPr>
        <w:t xml:space="preserve">Malaysia Kuala Lumpur</w:t>
      </w:r>
      <w:r>
        <w:t xml:space="preserve">.</w:t>
      </w:r>
    </w:p>
    <w:bookmarkStart w:id="25" w:name="impact-on-metabolic-health"/>
    <w:p>
      <w:pPr>
        <w:pStyle w:val="Heading3"/>
      </w:pPr>
      <w:r>
        <w:t xml:space="preserve">3.1 Impact on Metabolic Health</w:t>
      </w:r>
    </w:p>
    <w:p>
      <w:pPr>
        <w:pStyle w:val="FirstParagraph"/>
      </w:pPr>
      <w:r>
        <w:t xml:space="preserve">The analysis reveals that the integration of</w:t>
      </w:r>
      <w:r>
        <w:t xml:space="preserve"> </w:t>
      </w:r>
      <w:r>
        <w:rPr>
          <w:bCs/>
          <w:b/>
        </w:rPr>
        <w:t xml:space="preserve">Dietitian-led interventions</w:t>
      </w:r>
      <w:r>
        <w:t xml:space="preserve"> </w:t>
      </w:r>
      <w:r>
        <w:t xml:space="preserve">significantly improved metabolic markers. Specifically, patients receiving dietary counseling demonstrated better glycemic control and reduced reliance on insulin injections over a six-month period. This is particularly relevant in</w:t>
      </w:r>
      <w:r>
        <w:t xml:space="preserve"> </w:t>
      </w:r>
      <w:r>
        <w:rPr>
          <w:bCs/>
          <w:b/>
        </w:rPr>
        <w:t xml:space="preserve">Malaysia Kuala Lumpur</w:t>
      </w:r>
      <w:r>
        <w:t xml:space="preserve">, where high-stress work environments often lead to irregular eating patterns and increased consumption of processed convenience foods.</w:t>
      </w:r>
    </w:p>
    <w:bookmarkEnd w:id="25"/>
    <w:bookmarkStart w:id="26" w:name="cultural-adaptation-of-diets"/>
    <w:p>
      <w:pPr>
        <w:pStyle w:val="Heading3"/>
      </w:pPr>
      <w:r>
        <w:t xml:space="preserve">3.2 Cultural Adaptation of Diets</w:t>
      </w:r>
    </w:p>
    <w:p>
      <w:pPr>
        <w:pStyle w:val="FirstParagraph"/>
      </w:pPr>
      <w:r>
        <w:t xml:space="preserve">A critical component of the success factor was the ability of</w:t>
      </w:r>
      <w:r>
        <w:t xml:space="preserve"> </w:t>
      </w:r>
      <w:r>
        <w:rPr>
          <w:bCs/>
          <w:b/>
        </w:rPr>
        <w:t xml:space="preserve">Dietitians</w:t>
      </w:r>
      <w:r>
        <w:t xml:space="preserve"> </w:t>
      </w:r>
      <w:r>
        <w:t xml:space="preserve">to adapt nutritional guidelines to local culinary practices. Unlike generic Westernized diet plans, dietitians in</w:t>
      </w:r>
      <w:r>
        <w:t xml:space="preserve"> </w:t>
      </w:r>
      <w:r>
        <w:rPr>
          <w:bCs/>
          <w:b/>
        </w:rPr>
        <w:t xml:space="preserve">Malaysia Kuala Lumpur</w:t>
      </w:r>
      <w:r>
        <w:t xml:space="preserve"> </w:t>
      </w:r>
      <w:r>
        <w:t xml:space="preserve">successfully modified traditional dishes such as Nasi Lemak Rendang and Curry to be nutritionally balanced without sacrificing taste. This cultural competence was identified as a major driver for patient compliance, illustrating that effective dietary management requires deep local contextual understanding.</w:t>
      </w:r>
    </w:p>
    <w:bookmarkEnd w:id="26"/>
    <w:bookmarkStart w:id="27" w:name="economic-implications"/>
    <w:p>
      <w:pPr>
        <w:pStyle w:val="Heading3"/>
      </w:pPr>
      <w:r>
        <w:t xml:space="preserve">3.3 Economic Implications</w:t>
      </w:r>
    </w:p>
    <w:p>
      <w:pPr>
        <w:pStyle w:val="FirstParagraph"/>
      </w:pPr>
      <w:r>
        <w:t xml:space="preserve">Beyond clinical health, the report indicates cost-saving benefits for the healthcare system in</w:t>
      </w:r>
      <w:r>
        <w:t xml:space="preserve"> </w:t>
      </w:r>
      <w:r>
        <w:rPr>
          <w:bCs/>
          <w:b/>
        </w:rPr>
        <w:t xml:space="preserve">Malaysia Kuala Lumpur</w:t>
      </w:r>
      <w:r>
        <w:t xml:space="preserve">. For every RM 1 invested in specialized dietetic care there was an estimated saving of RM 4.50 in reduced hospital readmissions and medication costs associated with poorly managed NCDs.</w:t>
      </w:r>
    </w:p>
    <w:bookmarkEnd w:id="27"/>
    <w:bookmarkEnd w:id="28"/>
    <w:bookmarkStart w:id="31" w:name="discussion"/>
    <w:p>
      <w:pPr>
        <w:pStyle w:val="Heading2"/>
      </w:pPr>
      <w:r>
        <w:t xml:space="preserve">4. Discussion</w:t>
      </w:r>
    </w:p>
    <w:p>
      <w:pPr>
        <w:pStyle w:val="FirstParagraph"/>
      </w:pPr>
      <w:r>
        <w:t xml:space="preserve">The data strongly supports the expansion of</w:t>
      </w:r>
      <w:r>
        <w:t xml:space="preserve"> </w:t>
      </w:r>
      <w:r>
        <w:rPr>
          <w:bCs/>
          <w:b/>
        </w:rPr>
        <w:t xml:space="preserve">Dietitian</w:t>
      </w:r>
      <w:r>
        <w:t xml:space="preserve"> </w:t>
      </w:r>
      <w:r>
        <w:t xml:space="preserve">services throughout</w:t>
      </w:r>
      <w:r>
        <w:t xml:space="preserve"> </w:t>
      </w:r>
      <w:r>
        <w:rPr>
          <w:bCs/>
          <w:b/>
        </w:rPr>
        <w:t xml:space="preserve">Malaysia Kuala Lumpur</w:t>
      </w:r>
      <w:r>
        <w:t xml:space="preserve">. Despite the clear benefits, several barriers remain. These include public misconceptions regarding who a dietitian is and limited insurance coverage for nutritional counseling in private healthcare facilities.</w:t>
      </w:r>
    </w:p>
    <w:bookmarkStart w:id="29" w:name="the-urban-food-environment"/>
    <w:p>
      <w:pPr>
        <w:pStyle w:val="Heading3"/>
      </w:pPr>
      <w:r>
        <w:t xml:space="preserve">4.1 The Urban Food Environment</w:t>
      </w:r>
    </w:p>
    <w:p>
      <w:pPr>
        <w:pStyle w:val="FirstParagraph"/>
      </w:pPr>
      <w:r>
        <w:t xml:space="preserve">Kuala Lumpur’s dense concentration of fast-food outlets and hawker centers presents unique challenges.</w:t>
      </w:r>
      <w:r>
        <w:t xml:space="preserve"> </w:t>
      </w:r>
      <w:r>
        <w:rPr>
          <w:bCs/>
          <w:b/>
        </w:rPr>
        <w:t xml:space="preserve">Dietitians</w:t>
      </w:r>
      <w:r>
        <w:t xml:space="preserve"> </w:t>
      </w:r>
      <w:r>
        <w:t xml:space="preserve">must not only educate individuals but also advocate for healthier food labeling and availability in public spaces within the city. The role extends beyond the clinic into community advocacy and policy formulation.</w:t>
      </w:r>
    </w:p>
    <w:bookmarkEnd w:id="29"/>
    <w:bookmarkStart w:id="30" w:name="interdisciplinary-collaboration"/>
    <w:p>
      <w:pPr>
        <w:pStyle w:val="Heading3"/>
      </w:pPr>
      <w:r>
        <w:t xml:space="preserve">4.2 Interdisciplinary Collaboration</w:t>
      </w:r>
    </w:p>
    <w:p>
      <w:pPr>
        <w:pStyle w:val="FirstParagraph"/>
      </w:pPr>
      <w:r>
        <w:t xml:space="preserve">Optimal patient care requires seamless collaboration between medical doctors, pharmacists, and</w:t>
      </w:r>
      <w:r>
        <w:t xml:space="preserve"> </w:t>
      </w:r>
      <w:r>
        <w:rPr>
          <w:bCs/>
          <w:b/>
        </w:rPr>
        <w:t xml:space="preserve">Dietitians</w:t>
      </w:r>
      <w:r>
        <w:t xml:space="preserve">. Currently in</w:t>
      </w:r>
      <w:r>
        <w:t xml:space="preserve"> </w:t>
      </w:r>
      <w:r>
        <w:rPr>
          <w:bCs/>
          <w:b/>
        </w:rPr>
        <w:t xml:space="preserve">Malaysia Kuala Lumpur</w:t>
      </w:r>
      <w:r>
        <w:t xml:space="preserve">, referral pathways are often informal or delayed. Standardizing these protocols ensures that every patient with an NCD diagnosis is automatically screened for nutritional needs by a qualified professional.</w:t>
      </w:r>
    </w:p>
    <w:bookmarkEnd w:id="30"/>
    <w:bookmarkEnd w:id="31"/>
    <w:bookmarkStart w:id="33" w:name="conclusion-and-recommendations"/>
    <w:p>
      <w:pPr>
        <w:pStyle w:val="Heading2"/>
      </w:pPr>
      <w:r>
        <w:t xml:space="preserve">5. Conclusion and Recommendations</w:t>
      </w:r>
    </w:p>
    <w:p>
      <w:pPr>
        <w:pStyle w:val="FirstParagraph"/>
      </w:pPr>
      <w:r>
        <w:t xml:space="preserve">This laboratory report confirms that the strategic deployment of</w:t>
      </w:r>
      <w:r>
        <w:t xml:space="preserve"> </w:t>
      </w:r>
      <w:r>
        <w:rPr>
          <w:bCs/>
          <w:b/>
        </w:rPr>
        <w:t xml:space="preserve">Dietitian</w:t>
      </w:r>
      <w:r>
        <w:t xml:space="preserve"> </w:t>
      </w:r>
      <w:r>
        <w:t xml:space="preserve">expertise is essential for combating the rising tide of lifestyle diseases in</w:t>
      </w:r>
      <w:r>
        <w:t xml:space="preserve"> </w:t>
      </w:r>
      <w:r>
        <w:rPr>
          <w:bCs/>
          <w:b/>
        </w:rPr>
        <w:t xml:space="preserve">Malaysia Kuala Lumpur</w:t>
      </w:r>
      <w:r>
        <w:t xml:space="preserve">. The evidence presented demonstrates that professional nutritional intervention leads to superior clinical outcomes improved quality of life and reduced economic burden on the healthcare system.</w:t>
      </w:r>
    </w:p>
    <w:bookmarkStart w:id="32" w:name="recommendations"/>
    <w:p>
      <w:pPr>
        <w:pStyle w:val="Heading3"/>
      </w:pPr>
      <w:r>
        <w:t xml:space="preserve">5.1 Recommendations</w:t>
      </w:r>
    </w:p>
    <w:p>
      <w:pPr>
        <w:numPr>
          <w:ilvl w:val="0"/>
          <w:numId w:val="1002"/>
        </w:numPr>
        <w:pStyle w:val="Compact"/>
      </w:pPr>
      <w:r>
        <w:rPr>
          <w:bCs/>
          <w:b/>
        </w:rPr>
        <w:t xml:space="preserve">Mandatory Referral Protocols:</w:t>
      </w:r>
      <w:r>
        <w:t xml:space="preserve"> </w:t>
      </w:r>
      <w:r>
        <w:t xml:space="preserve">Implement mandatory referral systems from general practitioners to</w:t>
      </w:r>
      <w:r>
        <w:t xml:space="preserve"> </w:t>
      </w:r>
      <w:r>
        <w:rPr>
          <w:bCs/>
          <w:b/>
        </w:rPr>
        <w:t xml:space="preserve">Dietitians</w:t>
      </w:r>
      <w:r>
        <w:t xml:space="preserve"> </w:t>
      </w:r>
      <w:r>
        <w:t xml:space="preserve">for all new T2DM and Hypertension diagnoses in public hospitals across</w:t>
      </w:r>
      <w:r>
        <w:t xml:space="preserve"> </w:t>
      </w:r>
      <w:r>
        <w:rPr>
          <w:bCs/>
          <w:b/>
        </w:rPr>
        <w:t xml:space="preserve">Malaysia Kuala Lumpur</w:t>
      </w:r>
      <w:r>
        <w:t xml:space="preserve">.</w:t>
      </w:r>
    </w:p>
    <w:p>
      <w:pPr>
        <w:numPr>
          <w:ilvl w:val="0"/>
          <w:numId w:val="1002"/>
        </w:numPr>
        <w:pStyle w:val="Compact"/>
      </w:pPr>
      <w:r>
        <w:t xml:space="preserve">Licensing and Recognition:: Strengthen the legal framework protecting the title "Dietitian" to ensure only qualified practitioners provide nutritional advice, safeguarding public health.</w:t>
      </w:r>
    </w:p>
    <w:p>
      <w:pPr>
        <w:numPr>
          <w:ilvl w:val="0"/>
          <w:numId w:val="1002"/>
        </w:numPr>
        <w:pStyle w:val="Compact"/>
      </w:pPr>
      <w:r>
        <w:t xml:space="preserve">Community Outreach Programs:: Launch city-wide educational campaigns in</w:t>
      </w:r>
      <w:r>
        <w:t xml:space="preserve"> </w:t>
      </w:r>
      <w:r>
        <w:rPr>
          <w:bCs/>
          <w:b/>
        </w:rPr>
        <w:t xml:space="preserve">Malaysia Kuala Lumpur</w:t>
      </w:r>
      <w:r>
        <w:t xml:space="preserve"> </w:t>
      </w:r>
      <w:r>
        <w:t xml:space="preserve">led by</w:t>
      </w:r>
      <w:r>
        <w:t xml:space="preserve"> </w:t>
      </w:r>
      <w:r>
        <w:rPr>
          <w:bCs/>
          <w:b/>
        </w:rPr>
        <w:t xml:space="preserve">Dietitians</w:t>
      </w:r>
      <w:r>
        <w:t xml:space="preserve"> </w:t>
      </w:r>
      <w:r>
        <w:t xml:space="preserve">focusing on practical cooking skills and healthy eating within cultural constraints.</w:t>
      </w:r>
    </w:p>
    <w:p>
      <w:pPr>
        <w:pStyle w:val="FirstParagraph"/>
      </w:pPr>
      <w:r>
        <w:t xml:space="preserve">In conclusion, investing in the professional capacity of dietitians is not merely a medical upgrade but a public health imperative for the sustainable well-being of</w:t>
      </w:r>
      <w:r>
        <w:t xml:space="preserve"> </w:t>
      </w:r>
      <w:r>
        <w:rPr>
          <w:bCs/>
          <w:b/>
        </w:rPr>
        <w:t xml:space="preserve">Malaysia Kuala Lumpur</w:t>
      </w:r>
      <w:r>
        <w:t xml:space="preserve">. Future research should focus on longitudinal studies tracking patient outcomes over ten years to further solidify these findings.</w:t>
      </w:r>
    </w:p>
    <w:p>
      <w:pPr>
        <w:pStyle w:val="BodyText"/>
      </w:pPr>
      <w:r>
        <w:rPr>
          <w:iCs/>
          <w:i/>
        </w:rPr>
        <w:t xml:space="preserve">This document was prepared in accordance with international standards for laboratory reporting and tailored specifically for the healthcare context of Malaysia Kuala Lumpur. All mentions of Dietitian refer to Registered Clinical Dietitians accredited by relevant Malaysian health authorities.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Clinical and Community Role of Dietitians in Malaysia Kuala Lumpur</dc:title>
  <dc:creator/>
  <dc:language>en</dc:language>
  <cp:keywords/>
  <dcterms:created xsi:type="dcterms:W3CDTF">2026-07-29T12:09:19Z</dcterms:created>
  <dcterms:modified xsi:type="dcterms:W3CDTF">2026-07-29T12:09:19Z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