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Dietary</w:t>
      </w:r>
      <w:r>
        <w:t xml:space="preserve"> </w:t>
      </w:r>
      <w:r>
        <w:t xml:space="preserve">Intervention</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4" w:name="X83e48e48857b673070d8dce189391ce89cf976f"/>
    <w:p>
      <w:pPr>
        <w:pStyle w:val="Heading1"/>
      </w:pPr>
      <w:r>
        <w:t xml:space="preserve">Laboratory Report: Clinical Dietary Assessment and Intervention Protocols for New Zealand Auckland</w:t>
      </w:r>
    </w:p>
    <w:bookmarkStart w:id="20" w:name="executive-summary"/>
    <w:p>
      <w:pPr>
        <w:pStyle w:val="Heading2"/>
      </w:pPr>
      <w:r>
        <w:t xml:space="preserve">Executive Summary</w:t>
      </w:r>
    </w:p>
    <w:p>
      <w:pPr>
        <w:pStyle w:val="FirstParagraph"/>
      </w:pPr>
      <w:r>
        <w:t xml:space="preserve">This laboratory report details the comprehensive analysis of dietary requirements, nutritional challenges, and clinical intervention strategies specific to the demographic and environmental context of</w:t>
      </w:r>
      <w:r>
        <w:t xml:space="preserve"> </w:t>
      </w:r>
      <w:r>
        <w:t xml:space="preserve">New Zealand Auckland</w:t>
      </w:r>
      <w:r>
        <w:t xml:space="preserve">. The primary objective of this study is to establish standardized guidelines for</w:t>
      </w:r>
      <w:r>
        <w:t xml:space="preserve"> </w:t>
      </w:r>
      <w:r>
        <w:t xml:space="preserve">Dietitian</w:t>
      </w:r>
      <w:r>
        <w:t xml:space="preserve"> </w:t>
      </w:r>
      <w:r>
        <w:t xml:space="preserve">practitioners operating within the region. By examining local food availability, cultural dietary patterns, and prevalent health conditions such as diabetes and cardiovascular disease in Auckland, this document aims to optimize patient outcomes through evidence-based nutritional science.</w:t>
      </w:r>
    </w:p>
    <w:bookmarkEnd w:id="20"/>
    <w:bookmarkStart w:id="21" w:name="introduction"/>
    <w:p>
      <w:pPr>
        <w:pStyle w:val="Heading2"/>
      </w:pPr>
      <w:r>
        <w:t xml:space="preserve">1. Introduction</w:t>
      </w:r>
    </w:p>
    <w:p>
      <w:pPr>
        <w:pStyle w:val="FirstParagraph"/>
      </w:pPr>
      <w:r>
        <w:t xml:space="preserve">The role of the</w:t>
      </w:r>
      <w:r>
        <w:t xml:space="preserve"> </w:t>
      </w:r>
      <w:r>
        <w:t xml:space="preserve">Dietitian</w:t>
      </w:r>
      <w:r>
        <w:t xml:space="preserve">New Zealand Auckland</w:t>
      </w:r>
    </w:p>
    <w:p>
      <w:pPr>
        <w:pStyle w:val="BodyText"/>
      </w:pPr>
      <w:r>
        <w:t xml:space="preserve">The purpose of this report is threefold: first, to assess the current state of nutritional health in</w:t>
      </w:r>
      <w:r>
        <w:t xml:space="preserve"> </w:t>
      </w:r>
      <w:r>
        <w:t xml:space="preserve">New Zealand Auckland&lt;/&gt;; second, to evaluate the efficacy of current dietary protocols used by local</w:t>
      </w:r>
      <w:r>
        <w:t xml:space="preserve"> </w:t>
      </w:r>
      <w:r>
        <w:t xml:space="preserve">Dietitian</w:t>
      </w:r>
      <w:r>
        <w:t xml:space="preserve"> </w:t>
      </w:r>
    </w:p>
    <w:bookmarkEnd w:id="21"/>
    <w:bookmarkStart w:id="22" w:name="Xf32818e6de18b8894ab9eb6c37435e56e5f6405"/>
    <w:p>
      <w:pPr>
        <w:pStyle w:val="Heading2"/>
      </w:pPr>
      <w:r>
        <w:t xml:space="preserve">2. Regional Context: The Auckland Demographic</w:t>
      </w:r>
    </w:p>
    <w:p>
      <w:pPr>
        <w:pStyle w:val="FirstParagraph"/>
      </w:pPr>
      <w:r>
        <w:t xml:space="preserve">Auckland is the largest city in New Zealand, serving as a hub for multicultural exchange and rapid urban development.</w:t>
      </w:r>
    </w:p>
    <w:p>
      <w:pPr>
        <w:pStyle w:val="BodyText"/>
      </w:pPr>
      <w:r>
        <w:t xml:space="preserve">In</w:t>
      </w:r>
    </w:p>
    <w:p>
      <w:pPr>
        <w:pStyle w:val="BodyText"/>
      </w:pPr>
      <w:r>
        <w:t xml:space="preserve">New Zealand Auckland, food insecurity and dietary imbalance remain significant public health concerns. The prevalence of non-communicable diseases (NCDs) is disproportionately high in certain communities. For instance, Pacific Islanders living in Auckland face higher rates of type 2 diabetes compared to the general population, while Māori communities experience higher incidences of cardiovascular disease. These disparities are not merely biological but are deeply rooted in social determinants such as access to fresh produce, cost of living, and historical inequities.</w:t>
      </w:r>
    </w:p>
    <w:p>
      <w:pPr>
        <w:pStyle w:val="BodyText"/>
      </w:pPr>
      <w:r>
        <w:t xml:space="preserve">The</w:t>
      </w:r>
    </w:p>
    <w:p>
      <w:pPr>
        <w:pStyle w:val="BodyText"/>
      </w:pPr>
      <w:r>
        <w:t xml:space="preserve">DietitianNew Zealand Auckland&lt;/&gt;. Instead, dietary plans must respect traditional foods while promoting healthier preparation methods. For example, incorporating traditional Māori kai (food) such as kūmara (sweet potato) and green-lipped mussels into modern nutritional plans can improve adherence and cultural relevance.</w:t>
      </w:r>
    </w:p>
    <w:bookmarkEnd w:id="22"/>
    <w:bookmarkStart w:id="25" w:name="Xe7731701823a278429f86e6f74a5fc5628c64f9"/>
    <w:p>
      <w:pPr>
        <w:pStyle w:val="Heading2"/>
      </w:pPr>
      <w:r>
        <w:t xml:space="preserve">3. Laboratory Methodology for Nutritional Assessment</w:t>
      </w:r>
    </w:p>
    <w:p>
      <w:pPr>
        <w:pStyle w:val="FirstParagraph"/>
      </w:pPr>
      <w:r>
        <w:t xml:space="preserve">To effectively guide</w:t>
      </w:r>
    </w:p>
    <w:p>
      <w:pPr>
        <w:pStyle w:val="BodyText"/>
      </w:pPr>
      <w:r>
        <w:t xml:space="preserve">DietitianNew Zealand Auckland&lt;/&gt;:</w:t>
      </w:r>
    </w:p>
    <w:bookmarkStart w:id="23" w:name="biomarker-analysis"/>
    <w:p>
      <w:pPr>
        <w:pStyle w:val="Heading3"/>
      </w:pPr>
      <w:r>
        <w:t xml:space="preserve">3.1 Biomarker Analysis</w:t>
      </w:r>
    </w:p>
    <w:p>
      <w:pPr>
        <w:pStyle w:val="FirstParagraph"/>
      </w:pPr>
      <w:r>
        <w:t xml:space="preserve">Blood tests should routinely include markers for metabolic health, including HbA1c (glycated hemoglobin), lipid profiles (LDL, HDL, triglycerides), and vitamin D levels. Given the northern latitude of</w:t>
      </w:r>
    </w:p>
    <w:p>
      <w:pPr>
        <w:pStyle w:val="BodyText"/>
      </w:pPr>
      <w:r>
        <w:t xml:space="preserve">New Zealand Auckland&lt;/&gt;, vitamin D deficiency is a prevalent issue, particularly among individuals with darker skin tones who may have reduced synthesis despite adequate sun exposure.</w:t>
      </w:r>
    </w:p>
    <w:bookmarkEnd w:id="23"/>
    <w:bookmarkStart w:id="24" w:name="X9e3dfcdd7da6acdd18b5b316a73b864b0457084"/>
    <w:p>
      <w:pPr>
        <w:pStyle w:val="Heading3"/>
      </w:pPr>
      <w:r>
        <w:t xml:space="preserve">3.2 Dietary Recall and Food Frequency Questionnaires (FFQ)</w:t>
      </w:r>
    </w:p>
    <w:p>
      <w:pPr>
        <w:pStyle w:val="FirstParagraph"/>
      </w:pPr>
      <w:r>
        <w:t xml:space="preserve">Laboratory data must be correlated with dietary intake data. In</w:t>
      </w:r>
    </w:p>
    <w:p>
      <w:pPr>
        <w:pStyle w:val="BodyText"/>
      </w:pPr>
      <w:r>
        <w:t xml:space="preserve">New Zealand Auckland&lt;/&gt;, standard FFQs often fail to capture traditional foods from Pacific and Māori diets. Therefore, customized questionnaires that include local staples such as taro, breadfruit, and fish from the Hauraki Gulf are essential for accurate assessment.</w:t>
      </w:r>
    </w:p>
    <w:bookmarkEnd w:id="24"/>
    <w:bookmarkEnd w:id="25"/>
    <w:bookmarkStart w:id="26" w:name="key-nutritional-challenges-in-auckland"/>
    <w:p>
      <w:pPr>
        <w:pStyle w:val="Heading2"/>
      </w:pPr>
      <w:r>
        <w:t xml:space="preserve">4. Key Nutritional Challenges in Auckland</w:t>
      </w:r>
    </w:p>
    <w:p>
      <w:pPr>
        <w:pStyle w:val="FirstParagraph"/>
      </w:pPr>
      <w:r>
        <w:t xml:space="preserve">The laboratory report identifies several key nutritional challenges specific to</w:t>
      </w:r>
    </w:p>
    <w:p>
      <w:pPr>
        <w:pStyle w:val="BodyText"/>
      </w:pPr>
      <w:r>
        <w:t xml:space="preserve">New Zealand Auckland&lt;/&gt;:</w:t>
      </w:r>
    </w:p>
    <w:p>
      <w:pPr>
        <w:numPr>
          <w:ilvl w:val="0"/>
          <w:numId w:val="1001"/>
        </w:numPr>
        <w:pStyle w:val="Compact"/>
      </w:pPr>
      <w:r>
        <w:rPr>
          <w:bCs/>
          <w:b/>
        </w:rPr>
        <w:t xml:space="preserve">Sugar Consumption:</w:t>
      </w:r>
      <w:r>
        <w:t xml:space="preserve">Auckland has one of the highest per capita sugar consumptions globally, largely driven by processed foods and sugary beverages. This contributes to high rates of obesity and dental caries.</w:t>
      </w:r>
    </w:p>
    <w:p>
      <w:pPr>
        <w:numPr>
          <w:ilvl w:val="0"/>
          <w:numId w:val="1001"/>
        </w:numPr>
        <w:pStyle w:val="Compact"/>
      </w:pPr>
      <w:r>
        <w:rPr>
          <w:bCs/>
          <w:b/>
        </w:rPr>
        <w:t xml:space="preserve">Sodium Intake:</w:t>
      </w:r>
      <w:r>
        <w:t xml:space="preserve">The average sodium intake in</w:t>
      </w:r>
    </w:p>
    <w:p>
      <w:pPr>
        <w:numPr>
          <w:ilvl w:val="0"/>
          <w:numId w:val="1000"/>
        </w:numPr>
        <w:pStyle w:val="Compact"/>
      </w:pPr>
      <w:r>
        <w:t xml:space="preserve">New Zealand Auckland exceeds recommended guidelines, contributing to hypertension. Processed meats and fast food are major contributors.</w:t>
      </w:r>
    </w:p>
    <w:p>
      <w:pPr>
        <w:numPr>
          <w:ilvl w:val="0"/>
          <w:numId w:val="1001"/>
        </w:numPr>
        <w:pStyle w:val="Compact"/>
      </w:pPr>
      <w:r>
        <w:rPr>
          <w:bCs/>
          <w:b/>
        </w:rPr>
        <w:t xml:space="preserve">Fruit and Vegetable Access:</w:t>
      </w:r>
      <w:r>
        <w:t xml:space="preserve">While New Zealand is known for its produce, access in urban Auckland varies significantly by socioeconomic status. "Food deserts" exist in lower-income suburbs where fresh produce is less affordable than processed alternatives.</w:t>
      </w:r>
    </w:p>
    <w:bookmarkEnd w:id="26"/>
    <w:bookmarkStart w:id="30" w:name="intervention-strategies-for-dietitians"/>
    <w:p>
      <w:pPr>
        <w:pStyle w:val="Heading2"/>
      </w:pPr>
      <w:r>
        <w:t xml:space="preserve">5. Intervention Strategies for Dietitians</w:t>
      </w:r>
    </w:p>
    <w:p>
      <w:pPr>
        <w:pStyle w:val="FirstParagraph"/>
      </w:pPr>
      <w:r>
        <w:t xml:space="preserve">DietitianNew Zealand Auckland</w:t>
      </w:r>
      <w:r>
        <w:t xml:space="preserve"> </w:t>
      </w:r>
    </w:p>
    <w:bookmarkStart w:id="27" w:name="cultural-safety-and-competence"/>
    <w:p>
      <w:pPr>
        <w:pStyle w:val="Heading3"/>
      </w:pPr>
      <w:r>
        <w:t xml:space="preserve">5.1 Cultural Safety and Competence</w:t>
      </w:r>
    </w:p>
    <w:p>
      <w:pPr>
        <w:pStyle w:val="FirstParagraph"/>
      </w:pPr>
      <w:r>
        <w:t xml:space="preserve">Clinical guidelines emphasize that</w:t>
      </w:r>
      <w:r>
        <w:t xml:space="preserve"> </w:t>
      </w:r>
      <w:r>
        <w:t xml:space="preserve">Dietitian</w:t>
      </w:r>
      <w:r>
        <w:t xml:space="preserve"> </w:t>
      </w:r>
    </w:p>
    <w:bookmarkEnd w:id="27"/>
    <w:bookmarkStart w:id="28" w:name="community-based-programs"/>
    <w:p>
      <w:pPr>
        <w:pStyle w:val="Heading3"/>
      </w:pPr>
      <w:r>
        <w:t xml:space="preserve">5.2 Community-Based Programs</w:t>
      </w:r>
    </w:p>
    <w:p>
      <w:pPr>
        <w:pStyle w:val="FirstParagraph"/>
      </w:pPr>
      <w:r>
        <w:t xml:space="preserve">Laboratory results should inform community-level interventions. For example, if blood test data in a specific Auckland suburb shows high rates of iron deficiency,</w:t>
      </w:r>
      <w:r>
        <w:t xml:space="preserve"> </w:t>
      </w:r>
      <w:r>
        <w:t xml:space="preserve">Dietitian</w:t>
      </w:r>
      <w:r>
        <w:t xml:space="preserve"> </w:t>
      </w:r>
    </w:p>
    <w:bookmarkEnd w:id="28"/>
    <w:bookmarkStart w:id="29" w:name="policy-advocacy"/>
    <w:p>
      <w:pPr>
        <w:pStyle w:val="Heading3"/>
      </w:pPr>
      <w:r>
        <w:t xml:space="preserve">5.3 Policy Advocacy</w:t>
      </w:r>
    </w:p>
    <w:p>
      <w:pPr>
        <w:pStyle w:val="FirstParagraph"/>
      </w:pPr>
      <w:r>
        <w:t xml:space="preserve">DietitianNew Zealand Auckland</w:t>
      </w:r>
      <w:r>
        <w:t xml:space="preserve"> </w:t>
      </w:r>
    </w:p>
    <w:bookmarkEnd w:id="29"/>
    <w:bookmarkEnd w:id="30"/>
    <w:bookmarkStart w:id="31" w:name="case-study-analysis"/>
    <w:p>
      <w:pPr>
        <w:pStyle w:val="Heading2"/>
      </w:pPr>
      <w:r>
        <w:t xml:space="preserve">6. Case Study Analysis</w:t>
      </w:r>
    </w:p>
    <w:p>
      <w:pPr>
        <w:pStyle w:val="FirstParagraph"/>
      </w:pPr>
      <w:r>
        <w:rPr>
          <w:bCs/>
          <w:b/>
        </w:rPr>
        <w:t xml:space="preserve">Patient Profile:</w:t>
      </w:r>
      <w:r>
        <w:t xml:space="preserve">A 45-year-old male of Samoan descent living in South Auckland.</w:t>
      </w:r>
      <w:r>
        <w:br/>
      </w:r>
      <w:r>
        <w:rPr>
          <w:bCs/>
          <w:b/>
        </w:rPr>
        <w:t xml:space="preserve">Laboratory Findings:</w:t>
      </w:r>
      <w:r>
        <w:t xml:space="preserve">HbA1c of 8.5%, indicating uncontrolled Type 2 Diabetes. Triglycerides elevated at 3.2 mmol/L.</w:t>
      </w:r>
      <w:r>
        <w:br/>
      </w:r>
      <w:r>
        <w:rPr>
          <w:bCs/>
          <w:b/>
        </w:rPr>
        <w:t xml:space="preserve">Dietary Assessment:</w:t>
      </w:r>
      <w:r>
        <w:rPr>
          <w:bCs/>
          <w:b/>
        </w:rPr>
        <w:t xml:space="preserve"> </w:t>
      </w:r>
      <w:r>
        <w:rPr>
          <w:bCs/>
          <w:b/>
          <w:bCs/>
          <w:b/>
        </w:rPr>
        <w:t xml:space="preserve">Intervention:Dietitian</w:t>
      </w:r>
      <w:r>
        <w:rPr>
          <w:bCs/>
          <w:b/>
          <w:bCs/>
          <w:b/>
        </w:rPr>
        <w:t xml:space="preserve"> </w:t>
      </w:r>
      <w:r>
        <w:rPr>
          <w:bCs/>
          <w:b/>
          <w:bCs/>
          <w:b/>
          <w:bCs/>
          <w:b/>
        </w:rPr>
        <w:t xml:space="preserve">Outcome after 6 Months:</w:t>
      </w:r>
    </w:p>
    <w:bookmarkEnd w:id="31"/>
    <w:bookmarkStart w:id="32" w:name="conclusion"/>
    <w:p>
      <w:pPr>
        <w:pStyle w:val="Heading2"/>
      </w:pPr>
      <w:r>
        <w:t xml:space="preserve">7. Conclusion</w:t>
      </w:r>
    </w:p>
    <w:p>
      <w:pPr>
        <w:pStyle w:val="FirstParagraph"/>
      </w:pPr>
      <w:r>
        <w:t xml:space="preserve">This laboratory report underscores the critical importance of context-specific dietary practice in</w:t>
      </w:r>
    </w:p>
    <w:p>
      <w:pPr>
        <w:pStyle w:val="BodyText"/>
      </w:pPr>
      <w:r>
        <w:t xml:space="preserve">New Zealand Auckland&lt;/&gt;. The role of the</w:t>
      </w:r>
    </w:p>
    <w:p>
      <w:pPr>
        <w:pStyle w:val="BodyText"/>
      </w:pPr>
      <w:r>
        <w:t xml:space="preserve">Dietitian extends; beyond simple meal planning; it involves cultural advocacy, precise laboratory interpretation, and community engagement. By tailoring interventions to the unique needs of Auckland's diverse population, healthcare providers can significantly improve public health outcomes.</w:t>
      </w:r>
    </w:p>
    <w:p>
      <w:pPr>
        <w:pStyle w:val="BodyText"/>
      </w:pPr>
      <w:r>
        <w:t xml:space="preserve">Future research should focus on longitudinal studies tracking the impact of culturally tailored dietary interventions in</w:t>
      </w:r>
    </w:p>
    <w:p>
      <w:pPr>
        <w:pStyle w:val="BodyText"/>
      </w:pPr>
      <w:r>
        <w:t xml:space="preserve">New Zealand Auckland&lt;/&gt;, ensuring that laboratory protocols remain relevant and effective. The integration of traditional knowledge with modern nutritional science is key to addressing the complex health challenges facing the region.</w:t>
      </w:r>
    </w:p>
    <w:bookmarkEnd w:id="32"/>
    <w:bookmarkStart w:id="33" w:name="recommendations"/>
    <w:p>
      <w:pPr>
        <w:pStyle w:val="Heading2"/>
      </w:pPr>
      <w:r>
        <w:t xml:space="preserve">8. Recommendations</w:t>
      </w:r>
    </w:p>
    <w:p>
      <w:pPr>
        <w:numPr>
          <w:ilvl w:val="0"/>
          <w:numId w:val="1002"/>
        </w:numPr>
        <w:pStyle w:val="Compact"/>
      </w:pPr>
      <w:r>
        <w:t xml:space="preserve">All</w:t>
      </w:r>
      <w:r>
        <w:t xml:space="preserve"> </w:t>
      </w:r>
      <w:r>
        <w:t xml:space="preserve">Dietitian</w:t>
      </w:r>
      <w:r>
        <w:t xml:space="preserve"> </w:t>
      </w:r>
    </w:p>
    <w:p>
      <w:pPr>
        <w:numPr>
          <w:ilvl w:val="0"/>
          <w:numId w:val="1002"/>
        </w:numPr>
        <w:pStyle w:val="Compact"/>
      </w:pPr>
      <w:r>
        <w:t xml:space="preserve">Laboratories should offer specific panels for biomarkers relevant to high-risk groups in</w:t>
      </w:r>
      <w:r>
        <w:t xml:space="preserve"> </w:t>
      </w:r>
      <w:r>
        <w:t xml:space="preserve">New Zealand Auckland</w:t>
      </w:r>
      <w:r>
        <w:t xml:space="preserve"> </w:t>
      </w:r>
    </w:p>
    <w:p>
      <w:pPr>
        <w:numPr>
          <w:ilvl w:val="0"/>
          <w:numId w:val="1002"/>
        </w:numPr>
        <w:pStyle w:val="Compact"/>
      </w:pPr>
      <w:r>
        <w:t xml:space="preserve">Government funding should be allocated to support</w:t>
      </w:r>
      <w:r>
        <w:t xml:space="preserve"> </w:t>
      </w:r>
      <w:r>
        <w:t xml:space="preserve">Dietitian</w:t>
      </w:r>
      <w:r>
        <w:t xml:space="preserve"> </w:t>
      </w:r>
    </w:p>
    <w:p>
      <w:pPr>
        <w:numPr>
          <w:ilvl w:val="0"/>
          <w:numId w:val="1002"/>
        </w:numPr>
        <w:pStyle w:val="Compact"/>
      </w:pPr>
      <w:r>
        <w:t xml:space="preserve">Continuous professional development for</w:t>
      </w:r>
    </w:p>
    <w:p>
      <w:pPr>
        <w:numPr>
          <w:ilvl w:val="0"/>
          <w:numId w:val="1000"/>
        </w:numPr>
        <w:pStyle w:val="Compact"/>
      </w:pPr>
      <w:r>
        <w:t xml:space="preserve">Dietitian</w:t>
      </w:r>
    </w:p>
    <w:p>
      <w:r>
        <w:pict>
          <v:rect style="width:0;height:1.5pt" o:hralign="center" o:hrstd="t" o:hr="t"/>
        </w:pict>
      </w:r>
    </w:p>
    <w:p>
      <w:pPr>
        <w:pStyle w:val="FirstParagraph"/>
      </w:pPr>
      <w:r>
        <w:rPr>
          <w:iCs/>
          <w:i/>
        </w:rPr>
        <w:t xml:space="preserve">This report was prepared in accordance with the standards of clinical nutrition science, specifically adapted for the regulatory and environmental context of New Zealand Auckland.</w:t>
      </w:r>
    </w:p>
    <w:p>
      <w:pPr>
        <w:pStyle w:val="BodyText"/>
      </w:pPr>
      <w:r>
        <w:t xml:space="preserve">}</w:t>
      </w:r>
      <w:r>
        <w:t xml:space="preserve"> </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Dietary Intervention Analysis in New Zealand Auckland</dc:title>
  <dc:creator/>
  <dc:language>en</dc:language>
  <cp:keywords/>
  <dcterms:created xsi:type="dcterms:W3CDTF">2026-07-29T19:40:23Z</dcterms:created>
  <dcterms:modified xsi:type="dcterms:W3CDTF">2026-07-29T19:40:23Z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