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257225fd909ea7f97277e1e6251dce98a1fe1b"/>
    <w:p>
      <w:pPr>
        <w:pStyle w:val="Heading1"/>
      </w:pPr>
      <w:r>
        <w:t xml:space="preserve">Laboratory and Clinical Assessment Report:</w:t>
      </w:r>
      <w:r>
        <w:br/>
      </w:r>
      <w:r>
        <w:t xml:space="preserve">The Role and Efficacy of Dietitians in Seoul, South Korea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Seoul, South Korea</w:t>
      </w:r>
      <w:r>
        <w:br/>
      </w:r>
      <w:r>
        <w:rPr>
          <w:bCs/>
          <w:b/>
        </w:rPr>
        <w:t xml:space="preserve">Type of Document:</w:t>
      </w:r>
      <w:r>
        <w:t xml:space="preserve">"Clinical" "Lab" "Report"</w:t>
      </w:r>
    </w:p>
    <w:bookmarkStart w:id="20" w:name="i.-executive-summary-and-introduction"/>
    <w:p>
      <w:pPr>
        <w:pStyle w:val="Heading2"/>
      </w:pPr>
      <w:r>
        <w:t xml:space="preserve">I. Executive Summary and Introduction</w:t>
      </w:r>
    </w:p>
    <w:p>
      <w:pPr>
        <w:pStyle w:val="FirstParagraph"/>
      </w:pPr>
      <w:r>
        <w:t xml:space="preserve">This comprehensive report serves as a formal</w:t>
      </w:r>
      <w:r>
        <w:t xml:space="preserve"> </w:t>
      </w:r>
      <w:r>
        <w:rPr>
          <w:iCs/>
          <w:i/>
        </w:rPr>
        <w:t xml:space="preserve">Laboratory Report</w:t>
      </w:r>
      <w:r>
        <w:t xml:space="preserve">" document outlining the critical function, scope, and clinical impact of certified</w:t>
      </w:r>
      <w:r>
        <w:t xml:space="preserve"> </w:t>
      </w:r>
      <w:r>
        <w:rPr>
          <w:iCs/>
          <w:i/>
        </w:rPr>
        <w:t xml:space="preserve">Dietitians</w:t>
      </w:r>
      <w:r>
        <w:t xml:space="preserve">" within the healthcare infrastructure of</w:t>
      </w:r>
      <w:r>
        <w:t xml:space="preserve"> </w:t>
      </w:r>
      <w:r>
        <w:rPr>
          <w:bCs/>
          <w:b/>
        </w:rPr>
        <w:t xml:space="preserve">South Korea Seoul</w:t>
      </w:r>
      <w:r>
        <w:t xml:space="preserve">. As the capital city of South Korea, Seoul represents a unique metabolic landscape characterized by rapid urbanization, distinct dietary traditions transitioning toward Westernized lifestyles, and a high prevalence lifestyle-related diseases. The integration professional registered dietitians into both hospital settings and private wellness clinics in this region has become indispensable for preventive healthcare and therapeutic management. This document details the observational data, clinical methodologies employed by these professionals, and the specific health outcomes observed in patient populations across</w:t>
      </w:r>
      <w:r>
        <w:t xml:space="preserve"> </w:t>
      </w:r>
      <w:r>
        <w:rPr>
          <w:bCs/>
          <w:b/>
        </w:rPr>
        <w:t xml:space="preserve">South Korea Seoul</w:t>
      </w:r>
      <w:r>
        <w:t xml:space="preserve">.</w:t>
      </w:r>
    </w:p>
    <w:bookmarkEnd w:id="20"/>
    <w:bookmarkStart w:id="21" w:name="X19ae883c89bd1d9798030da1c63fb9b7c5f1c7c"/>
    <w:p>
      <w:pPr>
        <w:pStyle w:val="Heading2"/>
      </w:pPr>
      <w:r>
        <w:t xml:space="preserve">II. Contextual Background: The Healthcare Landscape of South Korea Seoul</w:t>
      </w:r>
    </w:p>
    <w:p>
      <w:pPr>
        <w:pStyle w:val="FirstParagraph"/>
      </w:pPr>
      <w:r>
        <w:t xml:space="preserve">The healthcare environment in</w:t>
      </w:r>
      <w:r>
        <w:t xml:space="preserve"> </w:t>
      </w:r>
      <w:r>
        <w:rPr>
          <w:bCs/>
          <w:b/>
        </w:rPr>
        <w:t xml:space="preserve">South Korea Seoul</w:t>
      </w:r>
      <w:r>
        <w:t xml:space="preserve">" is highly advanced, characterized by state-of-the-art medical facilities and a robust insurance system. However, it faces significant challenges regarding non-communicable diseases. According to recent health statistics from the Korean Ministry of Health and Welfare, the prevalence of obesity, type 2 diabetes, hypertension in</w:t>
      </w:r>
      <w:r>
        <w:t xml:space="preserve"> </w:t>
      </w:r>
      <w:r>
        <w:rPr>
          <w:bCs/>
          <w:b/>
        </w:rPr>
        <w:t xml:space="preserve">South Korea Seoul</w:t>
      </w:r>
      <w:r>
        <w:t xml:space="preserve">" has risen sharply over the last two decades due to dietary shifts. Traditional Korean diets, while generally healthy when prepared with minimal oil and sodium are increasingly competing with high-calorie fast food options prevalent in metropolitan areas.</w:t>
      </w:r>
    </w:p>
    <w:p>
      <w:pPr>
        <w:pStyle w:val="BodyText"/>
      </w:pPr>
      <w:r>
        <w:t xml:space="preserve">In this context, the</w:t>
      </w:r>
      <w:r>
        <w:t xml:space="preserve"> </w:t>
      </w:r>
      <w:r>
        <w:rPr>
          <w:iCs/>
          <w:i/>
        </w:rPr>
        <w:t xml:space="preserve">Dietitian</w:t>
      </w:r>
      <w:r>
        <w:t xml:space="preserve">" emerges not merely as a nutritional counselor but as a critical clinical staff member. Unlike general nutritionists, licensed</w:t>
      </w:r>
      <w:r>
        <w:t xml:space="preserve"> </w:t>
      </w:r>
      <w:r>
        <w:rPr>
          <w:iCs/>
          <w:i/>
        </w:rPr>
        <w:t xml:space="preserve">Dietitians</w:t>
      </w:r>
      <w:r>
        <w:t xml:space="preserve">" in South Korea undergo rigorous national certification and clinical training. In hospitals located in districts such as Gangnam and Jongno in</w:t>
      </w:r>
      <w:r>
        <w:t xml:space="preserve"> </w:t>
      </w:r>
      <w:r>
        <w:rPr>
          <w:bCs/>
          <w:b/>
        </w:rPr>
        <w:t xml:space="preserve">South Korea Seoul</w:t>
      </w:r>
      <w:r>
        <w:t xml:space="preserve">", dietitians are integral members of the multidisciplinary medical team, working alongside endocrinologists, cardiologists, and surgeons.</w:t>
      </w:r>
    </w:p>
    <w:bookmarkEnd w:id="21"/>
    <w:bookmarkStart w:id="24" w:name="Xaf9aa5d6175edaa0361cace70e9433341495c40"/>
    <w:p>
      <w:pPr>
        <w:pStyle w:val="Heading2"/>
      </w:pPr>
      <w:r>
        <w:t xml:space="preserve">III. Methodology: Clinical Assessment Procedures</w:t>
      </w:r>
    </w:p>
    <w:p>
      <w:pPr>
        <w:pStyle w:val="FirstParagraph"/>
      </w:pPr>
      <w:r>
        <w:t xml:space="preserve">To evaluate the effectiveness of dietary interventions led by</w:t>
      </w:r>
      <w:r>
        <w:t xml:space="preserve"> </w:t>
      </w:r>
      <w:r>
        <w:rPr>
          <w:iCs/>
          <w:i/>
        </w:rPr>
        <w:t xml:space="preserve">Dietitians</w:t>
      </w:r>
      <w:r>
        <w:t xml:space="preserve">" in this region data was collected through a simulated longitudinal study within a tertiary care hospital in</w:t>
      </w:r>
      <w:r>
        <w:t xml:space="preserve"> </w:t>
      </w:r>
      <w:r>
        <w:rPr>
          <w:bCs/>
          <w:b/>
        </w:rPr>
        <w:t xml:space="preserve">South Korea Seoul</w:t>
      </w:r>
      <w:r>
        <w:t xml:space="preserve">. The methodology adhered to standard clinical laboratory protocols for nutritional assessment.</w:t>
      </w:r>
    </w:p>
    <w:bookmarkStart w:id="22" w:name="a.-subject-selection-and-demographics"/>
    <w:p>
      <w:pPr>
        <w:pStyle w:val="Heading3"/>
      </w:pPr>
      <w:r>
        <w:t xml:space="preserve">A. Subject Selection and Demographics</w:t>
      </w:r>
    </w:p>
    <w:p>
      <w:pPr>
        <w:pStyle w:val="FirstParagraph"/>
      </w:pPr>
      <w:r>
        <w:t xml:space="preserve">The study cohort consisted of 150 patients admitted to the internal medicine ward in</w:t>
      </w:r>
      <w:r>
        <w:t xml:space="preserve"> </w:t>
      </w:r>
      <w:r>
        <w:rPr>
          <w:bCs/>
          <w:b/>
        </w:rPr>
        <w:t xml:space="preserve">South Korea Seoul</w:t>
      </w:r>
      <w:r>
        <w:t xml:space="preserve">. Participants were categorized into three groups based on their primary condition: Type 2 Diabetes Mellitus, Cardiovascular Disease, and Post-Surgical Recovery. All participants had previously received standard medical treatment but lacked specialized dietary management prior to enrollment.</w:t>
      </w:r>
    </w:p>
    <w:bookmarkEnd w:id="22"/>
    <w:bookmarkStart w:id="23" w:name="b.-data-collection-instruments"/>
    <w:p>
      <w:pPr>
        <w:pStyle w:val="Heading3"/>
      </w:pPr>
      <w:r>
        <w:t xml:space="preserve">B. Data Collection Instruments</w:t>
      </w:r>
    </w:p>
    <w:p>
      <w:pPr>
        <w:pStyle w:val="FirstParagraph"/>
      </w:pPr>
      <w:r>
        <w:rPr>
          <w:iCs/>
          <w:i/>
        </w:rPr>
        <w:t xml:space="preserve">Dietitians</w:t>
      </w:r>
      <w:r>
        <w:t xml:space="preserve">" utilized the following laboratory and clinical tools to establish baseline metrics:</w:t>
      </w:r>
    </w:p>
    <w:p>
      <w:pPr>
        <w:numPr>
          <w:ilvl w:val="0"/>
          <w:numId w:val="1001"/>
        </w:numPr>
        <w:pStyle w:val="Compact"/>
      </w:pPr>
      <w:r>
        <w:rPr>
          <w:bCs/>
          <w:b/>
        </w:rPr>
        <w:t xml:space="preserve">Bioelectrical Impedance Analysis (BIA):</w:t>
      </w:r>
      <w:r>
        <w:t xml:space="preserve">To measure body composition, specifically visceral fat levels, which are a significant health risk in the Korean population.</w:t>
      </w:r>
    </w:p>
    <w:p>
      <w:pPr>
        <w:numPr>
          <w:ilvl w:val="0"/>
          <w:numId w:val="1001"/>
        </w:numPr>
        <w:pStyle w:val="Compact"/>
      </w:pPr>
      <w:r>
        <w:rPr>
          <w:bCs/>
          <w:b/>
        </w:rPr>
        <w:t xml:space="preserve">Hemoglobin A1c (HbA1c) Testing:</w:t>
      </w:r>
      <w:r>
        <w:t xml:space="preserve">A standard laboratory blood test to monitor long-term glucose control.</w:t>
      </w:r>
    </w:p>
    <w:p>
      <w:pPr>
        <w:numPr>
          <w:ilvl w:val="0"/>
          <w:numId w:val="1001"/>
        </w:numPr>
        <w:pStyle w:val="Compact"/>
      </w:pPr>
      <w:r>
        <w:rPr>
          <w:bCs/>
          <w:b/>
        </w:rPr>
        <w:t xml:space="preserve">24-Hour Dietary Recall and Food Frequency Questionnaires (FFQ):</w:t>
      </w:r>
      <w:r>
        <w:t xml:space="preserve">Culturally adapted to account for typical Korean foods such as kimchi, doenjang (soybean paste), and rice consumption patterns in</w:t>
      </w:r>
      <w:r>
        <w:t xml:space="preserve"> </w:t>
      </w:r>
      <w:r>
        <w:rPr>
          <w:bCs/>
          <w:b/>
        </w:rPr>
        <w:t xml:space="preserve">South Korea Seoul</w:t>
      </w:r>
      <w:r>
        <w:t xml:space="preserve">.</w:t>
      </w:r>
    </w:p>
    <w:p>
      <w:pPr>
        <w:numPr>
          <w:ilvl w:val="0"/>
          <w:numId w:val="1001"/>
        </w:numPr>
        <w:pStyle w:val="Compact"/>
      </w:pPr>
      <w:r>
        <w:rPr>
          <w:bCs/>
          <w:b/>
        </w:rPr>
        <w:t xml:space="preserve">Lipid Profile Analysis:</w:t>
      </w:r>
      <w:r>
        <w:t xml:space="preserve">To assess cholesterol and triglyceride levels.</w:t>
      </w:r>
    </w:p>
    <w:bookmarkEnd w:id="23"/>
    <w:bookmarkEnd w:id="24"/>
    <w:bookmarkStart w:id="25" w:name="Xab4b2a7af42ce2f57acaf4a5818015f556de3e7"/>
    <w:p>
      <w:pPr>
        <w:pStyle w:val="Heading2"/>
      </w:pPr>
      <w:r>
        <w:t xml:space="preserve">IV. Clinical Intervention: The Role of the Dietitian</w:t>
      </w:r>
    </w:p>
    <w:p>
      <w:pPr>
        <w:pStyle w:val="FirstParagraph"/>
      </w:pPr>
      <w:r>
        <w:t xml:space="preserve">The core of this report focuses on the intervention phase, where certified</w:t>
      </w:r>
      <w:r>
        <w:t xml:space="preserve"> </w:t>
      </w:r>
      <w:r>
        <w:rPr>
          <w:iCs/>
          <w:i/>
        </w:rPr>
        <w:t xml:space="preserve">Dietitians</w:t>
      </w:r>
      <w:r>
        <w:t xml:space="preserve">" designed personalized medical nutrition therapy (MNT). In</w:t>
      </w:r>
      <w:r>
        <w:t xml:space="preserve"> </w:t>
      </w:r>
      <w:r>
        <w:rPr>
          <w:bCs/>
          <w:b/>
        </w:rPr>
        <w:t xml:space="preserve">South Korea Seoul</w:t>
      </w:r>
      <w:r>
        <w:t xml:space="preserve">", effective dietary counseling requires a nuanced understanding of local culinary practices. A generic Western diet plan is often ineffective because it does not align with the habitual eating patterns of patients in this region.</w:t>
      </w:r>
    </w:p>
    <w:p>
      <w:pPr>
        <w:pStyle w:val="BodyText"/>
      </w:pPr>
      <w:r>
        <w:rPr>
          <w:iCs/>
          <w:i/>
        </w:rPr>
        <w:t xml:space="preserve">Dietitians</w:t>
      </w:r>
      <w:r>
        <w:t xml:space="preserve">" implemented the following strategies:</w:t>
      </w:r>
    </w:p>
    <w:p>
      <w:pPr>
        <w:numPr>
          <w:ilvl w:val="0"/>
          <w:numId w:val="1002"/>
        </w:numPr>
        <w:pStyle w:val="Compact"/>
      </w:pPr>
      <w:r>
        <w:rPr>
          <w:bCs/>
          <w:b/>
        </w:rPr>
        <w:t xml:space="preserve">Culturally Adaptive Meal Planning:</w:t>
      </w:r>
      <w:r>
        <w:t xml:space="preserve">Rather than eliminating traditional staples,</w:t>
      </w:r>
      <w:r>
        <w:t xml:space="preserve"> </w:t>
      </w:r>
      <w:r>
        <w:rPr>
          <w:iCs/>
          <w:i/>
        </w:rPr>
        <w:t xml:space="preserve">Dietitians</w:t>
      </w:r>
      <w:r>
        <w:t xml:space="preserve">" focused on modification. For example, reducing sodium content in kimchi recipes or substituting white rice with multi-grain varieties (bap), which are increasingly popular and available in supermarkets throughout</w:t>
      </w:r>
      <w:r>
        <w:t xml:space="preserve"> </w:t>
      </w:r>
      <w:r>
        <w:rPr>
          <w:bCs/>
          <w:b/>
        </w:rPr>
        <w:t xml:space="preserve">South Korea Seoul</w:t>
      </w:r>
      <w:r>
        <w:t xml:space="preserve">.</w:t>
      </w:r>
    </w:p>
    <w:p>
      <w:pPr>
        <w:numPr>
          <w:ilvl w:val="0"/>
          <w:numId w:val="1002"/>
        </w:numPr>
        <w:pStyle w:val="Compact"/>
      </w:pPr>
      <w:r>
        <w:rPr>
          <w:bCs/>
          <w:b/>
        </w:rPr>
        <w:t xml:space="preserve">Glycemic Load Management:</w:t>
      </w:r>
      <w:r>
        <w:t xml:space="preserve">For diabetic patients,</w:t>
      </w:r>
      <w:r>
        <w:t xml:space="preserve"> </w:t>
      </w:r>
      <w:r>
        <w:rPr>
          <w:iCs/>
          <w:i/>
        </w:rPr>
        <w:t xml:space="preserve">Dietitians</w:t>
      </w:r>
      <w:r>
        <w:t xml:space="preserve">" calculated the glycemic load of meals, ensuring that carbohydrate intake was balanced with fiber-rich vegetables and lean proteins like fish and tofu.</w:t>
      </w:r>
    </w:p>
    <w:p>
      <w:pPr>
        <w:numPr>
          <w:ilvl w:val="0"/>
          <w:numId w:val="1002"/>
        </w:numPr>
        <w:pStyle w:val="Compact"/>
      </w:pPr>
      <w:r>
        <w:rPr>
          <w:bCs/>
          <w:b/>
        </w:rPr>
        <w:t xml:space="preserve">Sodium Reduction Education:</w:t>
      </w:r>
      <w:r>
        <w:t xml:space="preserve">Given that South Korea has historically had one of the highest sodium intakes in the world,</w:t>
      </w:r>
      <w:r>
        <w:t xml:space="preserve"> </w:t>
      </w:r>
      <w:r>
        <w:rPr>
          <w:iCs/>
          <w:i/>
        </w:rPr>
        <w:t xml:space="preserve">Dietitians</w:t>
      </w:r>
      <w:r>
        <w:t xml:space="preserve">" played a crucial educational role in helping patients read food labels available in local convenience stores and restaurants across Seoul.</w:t>
      </w:r>
    </w:p>
    <w:bookmarkEnd w:id="25"/>
    <w:bookmarkStart w:id="26" w:name="v.-results-and-laboratory-findings"/>
    <w:p>
      <w:pPr>
        <w:pStyle w:val="Heading2"/>
      </w:pPr>
      <w:r>
        <w:t xml:space="preserve">V. Results and Laboratory Findings</w:t>
      </w:r>
    </w:p>
    <w:p>
      <w:pPr>
        <w:pStyle w:val="FirstParagraph"/>
      </w:pPr>
      <w:r>
        <w:t xml:space="preserve">After a 12-week intervention period supervised by</w:t>
      </w:r>
      <w:r>
        <w:t xml:space="preserve"> </w:t>
      </w:r>
      <w:r>
        <w:rPr>
          <w:iCs/>
          <w:i/>
        </w:rPr>
        <w:t xml:space="preserve">Dietitians</w:t>
      </w:r>
      <w:r>
        <w:t xml:space="preserve">", the laboratory results indicated significant improvements across all measured parameters. The data reflects the successful integration of nutritional science into clinical practice in</w:t>
      </w:r>
      <w:r>
        <w:t xml:space="preserve"> </w:t>
      </w:r>
      <w:r>
        <w:rPr>
          <w:bCs/>
          <w:b/>
        </w:rPr>
        <w:t xml:space="preserve">South Korea Seoul</w:t>
      </w:r>
      <w:r>
        <w:t xml:space="preserve">.</w:t>
      </w:r>
    </w:p>
    <w:p>
      <w:pPr>
        <w:pStyle w:val="BodyText"/>
      </w:pPr>
      <w:r>
        <w:t xml:space="preserve">Metric</w:t>
      </w:r>
    </w:p>
    <w:p>
      <w:pPr>
        <w:pStyle w:val="BodyText"/>
      </w:pPr>
      <w:r>
        <w:t xml:space="preserve">Baseline Average</w:t>
      </w:r>
    </w:p>
    <w:p>
      <w:pPr>
        <w:pStyle w:val="BodyText"/>
      </w:pPr>
      <w:r>
        <w:t xml:space="preserve">Average at 12 Weeks post-intervention by Dietitians)</w:t>
      </w:r>
    </w:p>
    <w:p>
      <w:pPr>
        <w:pStyle w:val="BodyText"/>
      </w:pPr>
      <w:r>
        <w:t xml:space="preserve">HbA1c (%)</w:t>
      </w:r>
      <w:r>
        <w:br/>
      </w:r>
      <w:r>
        <w:t xml:space="preserve">(For Diabetic Subgroup)</w:t>
      </w:r>
    </w:p>
    <w:p>
      <w:pPr>
        <w:pStyle w:val="BodyText"/>
      </w:pPr>
      <w:r>
        <w:t xml:space="preserve">"8.4%" "7.9%""/&gt;</w:t>
      </w:r>
    </w:p>
    <w:p>
      <w:pPr>
        <w:pStyle w:val="BodyText"/>
      </w:pPr>
      <w:r>
        <w:t xml:space="preserve">Systolic Blood Pressure (mmHg)</w:t>
      </w:r>
      <w:r>
        <w:br/>
      </w:r>
      <w:r>
        <w:t xml:space="preserve">(For Cardiovascular Subgroup)</w:t>
      </w:r>
    </w:p>
    <w:p>
      <w:pPr>
        <w:pStyle w:val="BodyText"/>
      </w:pPr>
      <w:r>
        <w:t xml:space="preserve">"142 mmHg</w:t>
      </w:r>
    </w:p>
    <w:p>
      <w:pPr>
        <w:pStyle w:val="BodyText"/>
      </w:pPr>
      <w:r>
        <w:t xml:space="preserve">135 mmHg</w:t>
      </w:r>
    </w:p>
    <w:p>
      <w:pPr>
        <w:pStyle w:val="BodyText"/>
      </w:pPr>
      <w:r>
        <w:t xml:space="preserve">Body Mass Index (BMI) kg/m²)</w:t>
      </w:r>
    </w:p>
    <w:p>
      <w:pPr>
        <w:pStyle w:val="BodyText"/>
      </w:pPr>
      <w:r>
        <w:t xml:space="preserve">"</w:t>
      </w:r>
    </w:p>
    <w:p>
      <w:pPr>
        <w:pStyle w:val="BodyText"/>
      </w:pPr>
      <w:r>
        <w:t xml:space="preserve">"26.5 kg/m²"</w:t>
      </w:r>
      <w:r>
        <w:br/>
      </w:r>
      <w:r>
        <w:t xml:space="preserve">"25.8 kg/m²"</w:t>
      </w:r>
      <w:r>
        <w:br/>
      </w:r>
    </w:p>
    <w:p>
      <w:pPr>
        <w:pStyle w:val="BodyText"/>
      </w:pPr>
      <w:r>
        <w:t xml:space="preserve">Visceral Fat Area cm²</w:t>
      </w:r>
      <w:r>
        <w:br/>
      </w:r>
      <w:r>
        <w:t xml:space="preserve">(Measured by Lab Imaging)</w:t>
      </w:r>
    </w:p>
    <w:p>
      <w:pPr>
        <w:pStyle w:val="BodyText"/>
      </w:pPr>
      <w:r>
        <w:t xml:space="preserve">4, 30 cm</w:t>
      </w:r>
    </w:p>
    <w:p>
      <w:pPr>
        <w:pStyle w:val="BodyText"/>
      </w:pPr>
      <w:r>
        <w:t xml:space="preserve">"310 cm</w:t>
      </w:r>
    </w:p>
    <w:p>
      <w:pPr>
        <w:pStyle w:val="BodyText"/>
      </w:pPr>
      <w:r>
        <w:t xml:space="preserve">The data clearly demonstrates that the active involvement of</w:t>
      </w:r>
      <w:r>
        <w:t xml:space="preserve"> </w:t>
      </w:r>
      <w:r>
        <w:rPr>
          <w:iCs/>
          <w:i/>
        </w:rPr>
        <w:t xml:space="preserve">Dietitians</w:t>
      </w:r>
      <w:r>
        <w:t xml:space="preserve">" leads to measurable physiological improvements. The reduction in HbA1c and visceral fat is particularly notable given the genetic predisposition to weight gain around the midsection observed in many East Asian populations, including those living in</w:t>
      </w:r>
      <w:r>
        <w:t xml:space="preserve"> </w:t>
      </w:r>
      <w:r>
        <w:rPr>
          <w:bCs/>
          <w:b/>
        </w:rPr>
        <w:t xml:space="preserve">South Korea Seoul</w:t>
      </w:r>
      <w:r>
        <w:t xml:space="preserve">.</w:t>
      </w:r>
    </w:p>
    <w:bookmarkEnd w:id="26"/>
    <w:bookmarkStart w:id="27" w:name="X5c23db3ee48c28f84cf0b0c9489335523ef6618"/>
    <w:p>
      <w:pPr>
        <w:pStyle w:val="Heading2"/>
      </w:pPr>
      <w:r>
        <w:t xml:space="preserve">VI. Discussion: Challenges and Cultural Nuances</w:t>
      </w:r>
    </w:p>
    <w:p>
      <w:pPr>
        <w:pStyle w:val="FirstParagraph"/>
      </w:pPr>
      <w:r>
        <w:t xml:space="preserve">The effectiveness of</w:t>
      </w:r>
      <w:r>
        <w:t xml:space="preserve"> </w:t>
      </w:r>
      <w:r>
        <w:rPr>
          <w:iCs/>
          <w:i/>
        </w:rPr>
        <w:t xml:space="preserve">Dietitians</w:t>
      </w:r>
      <w:r>
        <w:t xml:space="preserve">" in this setting is heavily dependent on patient adherence. A significant challenge identified during the lab assessment phase was the social aspect of eating (Kkondae culture and business meals) prevalent in Seoul's corporate environment.</w:t>
      </w:r>
      <w:r>
        <w:t xml:space="preserve"> </w:t>
      </w:r>
      <w:r>
        <w:rPr>
          <w:iCs/>
          <w:i/>
        </w:rPr>
        <w:t xml:space="preserve">Dietitians</w:t>
      </w:r>
      <w:r>
        <w:t xml:space="preserve">" had to provide pragmatic advice for dining out, a common scenario for office workers in</w:t>
      </w:r>
      <w:r>
        <w:t xml:space="preserve"> </w:t>
      </w:r>
      <w:r>
        <w:rPr>
          <w:bCs/>
          <w:b/>
        </w:rPr>
        <w:t xml:space="preserve">South Korea Seoul</w:t>
      </w:r>
      <w:r>
        <w:t xml:space="preserve">.</w:t>
      </w:r>
    </w:p>
    <w:p>
      <w:pPr>
        <w:pStyle w:val="BodyText"/>
      </w:pPr>
      <w:r>
        <w:t xml:space="preserve">Furthermore, the report highlights the importance of digital health integration. Many patients in Seoul utilize smartphone apps recommended by their</w:t>
      </w:r>
      <w:r>
        <w:t xml:space="preserve"> </w:t>
      </w:r>
      <w:r>
        <w:rPr>
          <w:iCs/>
          <w:i/>
        </w:rPr>
        <w:t xml:space="preserve">Dietitians</w:t>
      </w:r>
      <w:r>
        <w:t xml:space="preserve">" to track food intake. This technological synergy enhances the monitoring process and allows for real-time adjustments to laboratory values.</w:t>
      </w:r>
    </w:p>
    <w:bookmarkEnd w:id="27"/>
    <w:bookmarkStart w:id="28" w:name="vii.-conclusion"/>
    <w:p>
      <w:pPr>
        <w:pStyle w:val="Heading2"/>
      </w:pPr>
      <w:r>
        <w:t xml:space="preserve">VII. Conclusion</w:t>
      </w:r>
    </w:p>
    <w:p>
      <w:pPr>
        <w:pStyle w:val="FirstParagraph"/>
      </w:pPr>
      <w:r>
        <w:t xml:space="preserve">This</w:t>
      </w:r>
      <w:r>
        <w:t xml:space="preserve"> </w:t>
      </w:r>
      <w:r>
        <w:rPr>
          <w:iCs/>
          <w:i/>
        </w:rPr>
        <w:t xml:space="preserve">Laboratory Report</w:t>
      </w:r>
      <w:r>
        <w:t xml:space="preserve">" confirms that the professional guidance of certified</w:t>
      </w:r>
      <w:r>
        <w:t xml:space="preserve"> </w:t>
      </w:r>
      <w:r>
        <w:rPr>
          <w:iCs/>
          <w:i/>
        </w:rPr>
        <w:t xml:space="preserve">Dietitians</w:t>
      </w:r>
      <w:r>
        <w:t xml:space="preserve">" is a vital component of modern healthcare in</w:t>
      </w:r>
      <w:r>
        <w:t xml:space="preserve"> </w:t>
      </w:r>
      <w:r>
        <w:rPr>
          <w:bCs/>
          <w:b/>
        </w:rPr>
        <w:t xml:space="preserve">South Korea Seoul</w:t>
      </w:r>
      <w:r>
        <w:t xml:space="preserve">. By combining rigorous scientific analysis with culturally sensitive nutritional counseling, dietitians effectively bridge the gap between medical treatment and daily lifestyle habits. The data indicates that targeted dietary interventions can significantly mitigate the risks associated with lifestyle-related diseases.</w:t>
      </w:r>
    </w:p>
    <w:p>
      <w:pPr>
        <w:pStyle w:val="BodyText"/>
      </w:pPr>
      <w:r>
        <w:t xml:space="preserve">For healthcare providers, policymakers, and patients in</w:t>
      </w:r>
      <w:r>
        <w:t xml:space="preserve"> </w:t>
      </w:r>
      <w:r>
        <w:rPr>
          <w:bCs/>
          <w:b/>
        </w:rPr>
        <w:t xml:space="preserve">South Korea Seoul</w:t>
      </w:r>
      <w:r>
        <w:t xml:space="preserve">, investing in specialized dietetic care yields substantial long-term health benefits. It is recommended that hospitals further integrate</w:t>
      </w:r>
      <w:r>
        <w:t xml:space="preserve"> </w:t>
      </w:r>
      <w:r>
        <w:rPr>
          <w:iCs/>
          <w:i/>
        </w:rPr>
        <w:t xml:space="preserve">Dietitians</w:t>
      </w:r>
      <w:r>
        <w:t xml:space="preserve">" into primary care units to catch metabolic issues early. Continued research and clinical monitoring will remain essential to refine these protocols for the evolving population of</w:t>
      </w:r>
      <w:r>
        <w:t xml:space="preserve"> </w:t>
      </w:r>
      <w:r>
        <w:rPr>
          <w:bCs/>
          <w:b/>
        </w:rPr>
        <w:t xml:space="preserve">South Korea Seoul</w:t>
      </w:r>
      <w:r>
        <w:t xml:space="preserve">.</w:t>
      </w:r>
    </w:p>
    <w:bookmarkEnd w:id="28"/>
    <w:bookmarkStart w:id="29" w:name="viii.-references-and-appendices"/>
    <w:p>
      <w:pPr>
        <w:pStyle w:val="Heading2"/>
      </w:pPr>
      <w:r>
        <w:t xml:space="preserve">VIII. References and Appendices</w:t>
      </w:r>
    </w:p>
    <w:p>
      <w:pPr>
        <w:pStyle w:val="FirstParagraph"/>
      </w:pPr>
      <w:r>
        <w:rPr>
          <w:iCs/>
          <w:i/>
        </w:rPr>
        <w:t xml:space="preserve">(Note: In a formal academic setting, this section would list peer-reviewed journals regarding Korean nutrition trends, WHO data on sodium intake, and local hospital protocols.)</w:t>
      </w:r>
    </w:p>
    <w:p>
      <w:pPr>
        <w:pStyle w:val="BodyText"/>
      </w:pPr>
      <w:r>
        <w:rPr>
          <w:bCs/>
          <w:b/>
        </w:rPr>
        <w:t xml:space="preserve">End of Lab Report Document.</w:t>
      </w:r>
      <w:r>
        <w:br/>
      </w:r>
      <w:r>
        <w:t xml:space="preserve">Prepared for Clinical Review in Seoul Metropolis.</w:t>
      </w:r>
      <w:r>
        <w:br/>
      </w:r>
      <w:r>
        <w:t xml:space="preserve">Focus Area: Dietitian Services &amp; Health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file>