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Clinical</w:t>
      </w:r>
      <w:r>
        <w:t xml:space="preserve"> </w:t>
      </w:r>
      <w:r>
        <w:t xml:space="preserve">Nutrition</w:t>
      </w:r>
      <w:r>
        <w:t xml:space="preserve"> </w:t>
      </w:r>
      <w:r>
        <w:t xml:space="preserve">Assessment</w:t>
      </w:r>
      <w:r>
        <w:t xml:space="preserve"> </w:t>
      </w:r>
      <w:r>
        <w:t xml:space="preserve">and</w:t>
      </w:r>
      <w:r>
        <w:t xml:space="preserve"> </w:t>
      </w:r>
      <w:r>
        <w:t xml:space="preserve">Intervention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Kampala</w:t>
      </w:r>
    </w:p>
    <w:bookmarkStart w:id="30" w:name="X56e865f5bd9572434303a2202007c42f5fa856e"/>
    <w:p>
      <w:pPr>
        <w:pStyle w:val="Heading1"/>
      </w:pPr>
      <w:r>
        <w:t xml:space="preserve">Clinical Nutrition Assessment and Intervention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ID No:</w:t>
      </w:r>
      <w:r>
        <w:t xml:space="preserve">KAMP-NUT-0492</w:t>
      </w:r>
    </w:p>
    <w:bookmarkStart w:id="20" w:name="executive-summary-and-objective"/>
    <w:p>
      <w:pPr>
        <w:pStyle w:val="Heading2"/>
      </w:pPr>
      <w:r>
        <w:t xml:space="preserve">1. Executive Summary and Objective</w:t>
      </w:r>
    </w:p>
    <w:p>
      <w:pPr>
        <w:pStyle w:val="FirstParagraph"/>
      </w:pPr>
      <w:r>
        <w:t xml:space="preserve">This lab report serves as a comprehensive analysis of the nutritional landscape and clinical interventions required within the specific context of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. The primary objective is to document the critical role played by professional</w:t>
      </w:r>
      <w:r>
        <w:t xml:space="preserve"> </w:t>
      </w:r>
      <w:r>
        <w:rPr>
          <w:bCs/>
          <w:b/>
        </w:rPr>
        <w:t xml:space="preserve">Dietitian</w:t>
      </w:r>
      <w:r>
        <w:t xml:space="preserve">s in addressing both communicable and non-communicable diseases prevalent in this rapidly urbanizing region. This report details findings from a simulated clinical audit and community dietary survey conducted across selected health facilities in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, highlighting the necessity for specialized nutrition care to mitigate malnutrition and lifestyle-related illnesses.</w:t>
      </w:r>
    </w:p>
    <w:p>
      <w:pPr>
        <w:pStyle w:val="BodyText"/>
      </w:pPr>
      <w:r>
        <w:t xml:space="preserve">The core mandate of this document is to illustrate how a qualified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operates within the healthcare infrastructure of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. It bridges the gap between clinical data (the "lab" aspect) and practical nutritional counseling, ensuring that patient care is evidence-based and culturally relevant. By focusing on</w:t>
      </w:r>
    </w:p>
    <w:p>
      <w:pPr>
        <w:pStyle w:val="BodyText"/>
      </w:pPr>
      <w:r>
        <w:t xml:space="preserve">Kampala, Uganda, we recognize a unique demographic where traditional diets are shifting rapidly toward high-calorie, low-nutrient processed foods due to urbanization.</w:t>
      </w:r>
    </w:p>
    <w:bookmarkEnd w:id="20"/>
    <w:bookmarkStart w:id="23" w:name="methodology"/>
    <w:p>
      <w:pPr>
        <w:pStyle w:val="Heading2"/>
      </w:pPr>
      <w:r>
        <w:t xml:space="preserve">2. Methodology</w:t>
      </w:r>
    </w:p>
    <w:bookmarkStart w:id="21" w:name="data-collection-scope"/>
    <w:p>
      <w:pPr>
        <w:pStyle w:val="Heading3"/>
      </w:pPr>
      <w:r>
        <w:t xml:space="preserve">2.1 Data Collection Scope</w:t>
      </w:r>
    </w:p>
    <w:p>
      <w:pPr>
        <w:pStyle w:val="FirstParagraph"/>
      </w:pPr>
      <w:r>
        <w:t xml:space="preserve">The data presented in this</w:t>
      </w:r>
      <w:r>
        <w:t xml:space="preserve"> </w:t>
      </w:r>
      <w:r>
        <w:rPr>
          <w:bCs/>
          <w:b/>
        </w:rPr>
        <w:t xml:space="preserve">Dietitian</w:t>
      </w:r>
      <w:r>
        <w:t xml:space="preserve">-led lab report was aggregated from three major public health centers and two private nutritional clinics located centrally within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. The study period spanned six months, focusing on patients diagnosed with diabetes mellitus type II, hypertension, and childhood malnutrition (stunting/wasting).</w:t>
      </w:r>
    </w:p>
    <w:bookmarkEnd w:id="21"/>
    <w:bookmarkStart w:id="22" w:name="assessment-tools"/>
    <w:p>
      <w:pPr>
        <w:pStyle w:val="Heading3"/>
      </w:pPr>
      <w:r>
        <w:t xml:space="preserve">2.2 Assessment Tools</w:t>
      </w:r>
    </w:p>
    <w:p>
      <w:pPr>
        <w:pStyle w:val="FirstParagraph"/>
      </w:pPr>
      <w:r>
        <w:t xml:space="preserve">To ensure accuracy in our findings as a</w:t>
      </w:r>
      <w:r>
        <w:t xml:space="preserve"> </w:t>
      </w:r>
      <w:r>
        <w:rPr>
          <w:bCs/>
          <w:b/>
        </w:rPr>
        <w:t xml:space="preserve">Dietitian</w:t>
      </w:r>
      <w:r>
        <w:t xml:space="preserve">, the following standard tools were utilized: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Biochemical Analysis:</w:t>
      </w:r>
      <w:r>
        <w:t xml:space="preserve"> </w:t>
      </w:r>
      <w:r>
        <w:t xml:space="preserve">Blood glucose levels, HbA1c, lipid profiles, and serum albumin levels.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Examination:</w:t>
      </w:r>
      <w:r>
        <w:t xml:space="preserve"> </w:t>
      </w:r>
      <w:r>
        <w:t xml:space="preserve">BMI calculations, mid-upper arm circumference (MUAC) for children under five in</w:t>
      </w:r>
    </w:p>
    <w:p>
      <w:pPr>
        <w:numPr>
          <w:ilvl w:val="0"/>
          <w:numId w:val="1000"/>
        </w:numPr>
        <w:pStyle w:val="Compact"/>
      </w:pPr>
      <w:r>
        <w:t xml:space="preserve">Kampala, and edema checks.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Dietary Recall:</w:t>
      </w:r>
      <w:r>
        <w:t xml:space="preserve"> </w:t>
      </w:r>
      <w:r>
        <w:t xml:space="preserve">24-hour recall methods adapted to local food items available in markets across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.</w:t>
      </w:r>
    </w:p>
    <w:bookmarkEnd w:id="22"/>
    <w:bookmarkEnd w:id="23"/>
    <w:bookmarkStart w:id="26" w:name="Xd661e4cc1d193dbd73c9221e222aca89625e480"/>
    <w:p>
      <w:pPr>
        <w:pStyle w:val="Heading2"/>
      </w:pPr>
      <w:r>
        <w:t xml:space="preserve">3. Clinical Findings and Nutritional Analysis</w:t>
      </w:r>
    </w:p>
    <w:p>
      <w:pPr>
        <w:pStyle w:val="FirstParagraph"/>
      </w:pPr>
      <w:r>
        <w:t xml:space="preserve">The laboratory analysis of patient data reveals a dual burden of nutrition-related issues within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. While undernutrition remains a concern in low-income settlements such as Katwe and Bwaise, there is an alarming rise in obesity and metabolic syndrome among the middle class. The role of the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is pivotal in navigating this complex dichotomy.</w:t>
      </w:r>
    </w:p>
    <w:bookmarkStart w:id="24" w:name="case-study-metabolic-syndrome"/>
    <w:p>
      <w:pPr>
        <w:pStyle w:val="Heading3"/>
      </w:pPr>
      <w:r>
        <w:t xml:space="preserve">3.1 Case Study: Metabolic Syndrome</w:t>
      </w:r>
    </w:p>
    <w:p>
      <w:pPr>
        <w:pStyle w:val="FirstParagraph"/>
      </w:pPr>
      <w:r>
        <w:t xml:space="preserve">In a sample size of 50 adult patients treated at a clinic in central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, 78% presented with pre-diabetic or diabetic conditions. The biochemical lab results indicated elevated triglyceride levels correlating directly with the consumption of refined carbohydrates and sugar-sweetened beverages. As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would note, this is not merely a lack of food, but a disruption in food quality.</w:t>
      </w:r>
    </w:p>
    <w:p>
      <w:pPr>
        <w:pStyle w:val="BodyText"/>
      </w:pPr>
      <w:r>
        <w:t xml:space="preserve">Nutritional Indicator</w:t>
      </w:r>
    </w:p>
    <w:p>
      <w:pPr>
        <w:pStyle w:val="BodyText"/>
      </w:pPr>
      <w:r>
        <w:t xml:space="preserve">Finding (Baseline)</w:t>
      </w:r>
    </w:p>
    <w:p>
      <w:pPr>
        <w:pStyle w:val="BodyText"/>
      </w:pPr>
      <w:r>
        <w:t xml:space="preserve">Status after 3 Months Intervention by Dietitian</w:t>
      </w:r>
    </w:p>
    <w:p>
      <w:pPr>
        <w:pStyle w:val="BodyText"/>
      </w:pPr>
      <w:r>
        <w:t xml:space="preserve">Fasting Blood Glucose (mmol/L) &lt; 7.0</w:t>
      </w:r>
      <w:r>
        <w:br/>
      </w:r>
      <w:r>
        <w:t xml:space="preserve">(Normal: 4.0-6.9)</w:t>
      </w:r>
    </w:p>
    <w:p>
      <w:pPr>
        <w:pStyle w:val="BodyText"/>
      </w:pPr>
      <w:r>
        <w:t xml:space="preserve">Average: 8.5 mmol/L</w:t>
      </w:r>
    </w:p>
    <w:p>
      <w:pPr>
        <w:pStyle w:val="BodyText"/>
      </w:pPr>
      <w:r>
        <w:t xml:space="preserve">Average: 6.2 mmol/L</w:t>
      </w:r>
    </w:p>
    <w:p>
      <w:pPr>
        <w:pStyle w:val="BodyText"/>
      </w:pPr>
      <w:r>
        <w:t xml:space="preserve">BMI Category (kg/m²)</w:t>
      </w:r>
    </w:p>
    <w:p>
      <w:pPr>
        <w:pStyle w:val="BodyText"/>
      </w:pPr>
      <w:r>
        <w:t xml:space="preserve">Finding (Baseline)</w:t>
      </w:r>
    </w:p>
    <w:p>
      <w:pPr>
        <w:pStyle w:val="BodyText"/>
      </w:pPr>
      <w:r>
        <w:t xml:space="preserve">Status after 3 Months Intervention by Dietitian &lt; td="td"&gt;Average: 29.5 (Overweight/Obese)</w:t>
      </w:r>
    </w:p>
    <w:p>
      <w:pPr>
        <w:pStyle w:val="BodyText"/>
      </w:pPr>
      <w:r>
        <w:t xml:space="preserve">Average: 27.8</w:t>
      </w:r>
    </w:p>
    <w:p>
      <w:pPr>
        <w:pStyle w:val="BodyText"/>
      </w:pPr>
      <w:r>
        <w:t xml:space="preserve">Dietary Diversity Score</w:t>
      </w:r>
      <w:r>
        <w:br/>
      </w:r>
      <w:r>
        <w:t xml:space="preserve">(Based on WHO standards for Uganda) Average: 3 groups consumed daily</w:t>
      </w:r>
    </w:p>
    <w:p>
      <w:pPr>
        <w:pStyle w:val="BodyText"/>
      </w:pPr>
      <w:r>
        <w:t xml:space="preserve">Average: 6 groups consumed daily</w:t>
      </w:r>
    </w:p>
    <w:p>
      <w:pPr>
        <w:pStyle w:val="BodyText"/>
      </w:pPr>
      <w:r>
        <w:t xml:space="preserve">The data above demonstrates that targeted counseling by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significantly improves biochemical markers. In the context of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, this intervention involves substituting expensive imported processed foods with affordable local superfoods such as millet, sorghum, and indigenous leafy vegetables (e.g., Amaranth and Sweet Potato leaves).</w:t>
      </w:r>
    </w:p>
    <w:bookmarkEnd w:id="24"/>
    <w:bookmarkStart w:id="25" w:name="pediatric-malnutrition-in-urban-slums"/>
    <w:p>
      <w:pPr>
        <w:pStyle w:val="Heading3"/>
      </w:pPr>
      <w:r>
        <w:t xml:space="preserve">3.2 Pediatric Malnutrition in Urban Slums</w:t>
      </w:r>
    </w:p>
    <w:p>
      <w:pPr>
        <w:pStyle w:val="FirstParagraph"/>
      </w:pPr>
      <w:r>
        <w:t xml:space="preserve">In the peripheral districts of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, the lab report highlights a persistent issue of micronutrient deficiencies despite adequate caloric intake. Iron-deficiency anemia was prevalent in 60% of children under five. The</w:t>
      </w:r>
    </w:p>
    <w:p>
      <w:pPr>
        <w:pStyle w:val="BodyText"/>
      </w:pPr>
      <w:r>
        <w:t xml:space="preserve">Dietitian's intervention here focuses on "bio-fortification" through diet—encouraging the consumption of liver, eggs, and fortified cereals available in local markets, rather than relying solely on supplements.</w:t>
      </w:r>
    </w:p>
    <w:bookmarkEnd w:id="25"/>
    <w:bookmarkEnd w:id="26"/>
    <w:bookmarkStart w:id="27" w:name="X33527fd37562a6510a91870cddaf5a72200e706"/>
    <w:p>
      <w:pPr>
        <w:pStyle w:val="Heading2"/>
      </w:pPr>
      <w:r>
        <w:t xml:space="preserve">4. Discussion: The Dietitian’s Role in the Local Context</w:t>
      </w:r>
    </w:p>
    <w:p>
      <w:pPr>
        <w:pStyle w:val="FirstParagraph"/>
      </w:pPr>
      <w:r>
        <w:t xml:space="preserve">The findings underscore that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cannot operate effectively without understanding the socio-economic fabric of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. Food security is not just about availability; it is about affordability and education. The lab report suggests that many patients in</w:t>
      </w:r>
    </w:p>
    <w:p>
      <w:pPr>
        <w:pStyle w:val="BodyText"/>
      </w:pPr>
      <w:r>
        <w:t xml:space="preserve">Kampala, Uganda suffer from "hidden hunger," where caloric needs are met by energy-dense but nutrient-poor foods like *mandazi* (fried dough) and white bread.</w:t>
      </w:r>
    </w:p>
    <w:p>
      <w:pPr>
        <w:pStyle w:val="BodyText"/>
      </w:pPr>
      <w:r>
        <w:t xml:space="preserve">The intervention strategies employed in this report highlight three key pillars of the</w:t>
      </w:r>
      <w:r>
        <w:t xml:space="preserve"> </w:t>
      </w:r>
      <w:r>
        <w:rPr>
          <w:bCs/>
          <w:b/>
        </w:rPr>
        <w:t xml:space="preserve">Dietitian's</w:t>
      </w:r>
      <w:r>
        <w:t xml:space="preserve"> </w:t>
      </w:r>
      <w:r>
        <w:t xml:space="preserve">work: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Culturally Sensitive Education:</w:t>
      </w:r>
    </w:p>
    <w:p>
      <w:pPr>
        <w:numPr>
          <w:ilvl w:val="0"/>
          <w:numId w:val="1002"/>
        </w:numPr>
        <w:pStyle w:val="Compact"/>
      </w:pPr>
      <w:r>
        <w:t xml:space="preserve">Affordable Meal Planning:DietitianKampala, Uganda. This includes promoting beans, groundnuts, and seasonal vegetables over expensive animal proteins.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Interdisciplinary Collaboration:</w:t>
      </w:r>
      <w:r>
        <w:t xml:space="preserve">The lab results indicate that medical treatment alone fails to manage chronic diseases. The</w:t>
      </w:r>
    </w:p>
    <w:p>
      <w:pPr>
        <w:numPr>
          <w:ilvl w:val="0"/>
          <w:numId w:val="1000"/>
        </w:numPr>
        <w:pStyle w:val="Compact"/>
      </w:pPr>
      <w:r>
        <w:t xml:space="preserve">Dietitian works alongside physicians in</w:t>
      </w:r>
    </w:p>
    <w:p>
      <w:pPr>
        <w:numPr>
          <w:ilvl w:val="0"/>
          <w:numId w:val="1000"/>
        </w:numPr>
        <w:pStyle w:val="Compact"/>
      </w:pPr>
      <w:r>
        <w:t xml:space="preserve">Kampala</w:t>
      </w:r>
    </w:p>
    <w:bookmarkEnd w:id="27"/>
    <w:bookmarkStart w:id="28" w:name="Xd33c534c77c1b1a50f16eee4eb8e4b77f58ca31"/>
    <w:p>
      <w:pPr>
        <w:pStyle w:val="Heading2"/>
      </w:pPr>
      <w:r>
        <w:t xml:space="preserve">5. Challenges and Constraints in Kampala, Uganda</w:t>
      </w:r>
    </w:p>
    <w:p>
      <w:pPr>
        <w:pStyle w:val="FirstParagraph"/>
      </w:pPr>
      <w:r>
        <w:t xml:space="preserve">This lab report acknowledges several challenges facing the implementation of optimal dietary guidelines in</w:t>
      </w:r>
      <w:r>
        <w:t xml:space="preserve"> </w:t>
      </w:r>
      <w:r>
        <w:rPr>
          <w:bCs/>
          <w:b/>
        </w:rPr>
        <w:t xml:space="preserve">Kampala, Uganda</w:t>
      </w:r>
      <w:r>
        <w:t xml:space="preserve">. First, the rapid influx of fast-food chains and processed imports has altered eating habits among urban youth. Second, there is a shortage of trained</w:t>
      </w:r>
    </w:p>
    <w:p>
      <w:pPr>
        <w:pStyle w:val="BodyText"/>
      </w:pPr>
      <w:r>
        <w:t xml:space="preserve">DietitianKampala, Uganda. Third, economic fluctuations affect the price stability of nutritious foods like fresh produce.</w:t>
      </w:r>
    </w:p>
    <w:p>
      <w:pPr>
        <w:pStyle w:val="BodyText"/>
      </w:pPr>
      <w:r>
        <w:t xml:space="preserve">Despite these hurdles, the data proves that when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is integrated into the primary care system in</w:t>
      </w:r>
      <w:r>
        <w:t xml:space="preserve"> </w:t>
      </w:r>
      <w:r>
        <w:rPr>
          <w:bCs/>
          <w:b/>
        </w:rPr>
        <w:t xml:space="preserve">Kampala, Uganda</w:t>
      </w:r>
    </w:p>
    <w:bookmarkEnd w:id="28"/>
    <w:bookmarkStart w:id="29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In conclusion, this lab report affirms that the professional input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is indispensable in the healthcare sector of</w:t>
      </w:r>
    </w:p>
    <w:p>
      <w:pPr>
        <w:pStyle w:val="BodyText"/>
      </w:pPr>
      <w:r>
        <w:t xml:space="preserve">Kampala, Uganda. The dual burden of malnutrition requires nuanced, data-driven interventions that go beyond standard medical prescription. The biochemical improvements observed in our study group validate the efficacy of dietary counseling.</w:t>
      </w:r>
    </w:p>
    <w:p>
      <w:pPr>
        <w:pStyle w:val="BodyText"/>
      </w:pPr>
      <w:r>
        <w:t xml:space="preserve">To further enhance nutritional health outcomes in</w:t>
      </w:r>
    </w:p>
    <w:p>
      <w:pPr>
        <w:pStyle w:val="BodyText"/>
      </w:pPr>
      <w:r>
        <w:t xml:space="preserve">Kampala, Uganda, we recommend the following: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Institutionalization:</w:t>
      </w:r>
      <w:r>
        <w:t xml:space="preserve">Dietitian</w:t>
      </w:r>
    </w:p>
    <w:p>
      <w:pPr>
        <w:numPr>
          <w:ilvl w:val="0"/>
          <w:numId w:val="1003"/>
        </w:numPr>
        <w:pStyle w:val="Compact"/>
      </w:pPr>
      <w:r>
        <w:t xml:space="preserve">Community Outreach:Nutrition education programs targeting schools and markets in high-risk zones.</w:t>
      </w:r>
    </w:p>
    <w:p>
      <w:pPr>
        <w:numPr>
          <w:ilvl w:val="0"/>
          <w:numId w:val="1003"/>
        </w:numPr>
        <w:pStyle w:val="Compact"/>
      </w:pPr>
      <w:r>
        <w:t xml:space="preserve">Policymaking:Government regulation on sugar content in locally produced foods to combat the lifestyle diseases identified in this lab report.</w:t>
      </w:r>
    </w:p>
    <w:p>
      <w:pPr>
        <w:pStyle w:val="FirstParagraph"/>
      </w:pPr>
      <w:r>
        <w:t xml:space="preserve">The synergy between clinical data (the lab) and nutritional expertise (the dietitian) is the key to improving public health standards. As</w:t>
      </w:r>
    </w:p>
    <w:p>
      <w:pPr>
        <w:pStyle w:val="BodyText"/>
      </w:pPr>
      <w:r>
        <w:t xml:space="preserve">Kampala, Uganda continues to develop, investing in professional nutritional care will yield significant long-term benefits for its population.</w:t>
      </w:r>
    </w:p>
    <w:p>
      <w:pPr>
        <w:pStyle w:val="BodyText"/>
      </w:pPr>
      <w:r>
        <w:rPr>
          <w:bCs/>
          <w:b/>
        </w:rPr>
        <w:t xml:space="preserve">Report Compiled By:</w:t>
      </w:r>
    </w:p>
    <w:p>
      <w:pPr>
        <w:pStyle w:val="BodyText"/>
      </w:pPr>
      <w:r>
        <w:t xml:space="preserve">Sr. Clinical Dietitian</w:t>
      </w:r>
    </w:p>
    <w:p>
      <w:pPr>
        <w:pStyle w:val="BodyText"/>
      </w:pPr>
      <w:r>
        <w:t xml:space="preserve">Nutritional Services Department</w:t>
      </w:r>
    </w:p>
    <w:p>
      <w:pPr>
        <w:pStyle w:val="BodyText"/>
      </w:pPr>
      <w:r>
        <w:t xml:space="preserve">Kampala, Uganda</w:t>
      </w:r>
    </w:p>
    <w:p>
      <w:pPr>
        <w:pStyle w:val="BodyText"/>
      </w:pPr>
      <w:r>
        <w:t xml:space="preserve">&lt; /html &gt;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Nutrition Assessment and Intervention Report: The Role of the Dietitian in Kampala</dc:title>
  <dc:creator/>
  <dc:language>en</dc:language>
  <cp:keywords/>
  <dcterms:created xsi:type="dcterms:W3CDTF">2026-07-29T12:03:05Z</dcterms:created>
  <dcterms:modified xsi:type="dcterms:W3CDTF">2026-07-29T12:03:05Z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