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Nutritional</w:t>
      </w:r>
      <w:r>
        <w:t xml:space="preserve"> </w:t>
      </w:r>
      <w:r>
        <w:t xml:space="preserve">Assessment</w:t>
      </w:r>
      <w:r>
        <w:t xml:space="preserve"> </w:t>
      </w:r>
      <w:r>
        <w:t xml:space="preserve">and</w:t>
      </w:r>
      <w:r>
        <w:t xml:space="preserve"> </w:t>
      </w:r>
      <w:r>
        <w:t xml:space="preserve">Dietary</w:t>
      </w:r>
      <w:r>
        <w:t xml:space="preserve"> </w:t>
      </w:r>
      <w:r>
        <w:t xml:space="preserve">Intervention</w:t>
      </w:r>
      <w:r>
        <w:t xml:space="preserve"> </w:t>
      </w:r>
      <w:r>
        <w:t xml:space="preserve">in</w:t>
      </w:r>
      <w:r>
        <w:t xml:space="preserve"> </w:t>
      </w:r>
      <w:r>
        <w:t xml:space="preserve">Miami,</w:t>
      </w:r>
      <w:r>
        <w:t xml:space="preserve"> </w:t>
      </w:r>
      <w:r>
        <w:t xml:space="preserve">United</w:t>
      </w:r>
      <w:r>
        <w:t xml:space="preserve"> </w:t>
      </w:r>
      <w:r>
        <w:t xml:space="preserve">States</w:t>
      </w:r>
    </w:p>
    <w:bookmarkStart w:id="32" w:name="Xebc2aa73ee4670aa95e584d40924304233ad7e7"/>
    <w:p>
      <w:pPr>
        <w:pStyle w:val="Heading1"/>
      </w:pPr>
      <w:r>
        <w:t xml:space="preserve">Laboratory Report: Nutritional Assessment and Dietary Intervention Analysis</w:t>
      </w:r>
    </w:p>
    <w:p>
      <w:pPr>
        <w:pStyle w:val="FirstParagraph"/>
      </w:pPr>
      <w:r>
        <w:rPr>
          <w:bCs/>
          <w:b/>
        </w:rPr>
        <w:t xml:space="preserve">Date of Report:</w:t>
      </w:r>
      <w:r>
        <w:t xml:space="preserve"> </w:t>
      </w:r>
      <w:r>
        <w:t xml:space="preserve">October 24, 2023</w:t>
      </w:r>
    </w:p>
    <w:p>
      <w:pPr>
        <w:pStyle w:val="BodyText"/>
      </w:pPr>
      <w:r>
        <w:rPr>
          <w:bCs/>
          <w:b/>
        </w:rPr>
        <w:t xml:space="preserve">Institution:</w:t>
      </w:r>
      <w:r>
        <w:t xml:space="preserve"> </w:t>
      </w:r>
      <w:r>
        <w:t xml:space="preserve">Miami Clinical Nutrition Research Center</w:t>
      </w:r>
    </w:p>
    <w:p>
      <w:pPr>
        <w:pStyle w:val="BodyText"/>
      </w:pPr>
      <w:r>
        <w:rPr>
          <w:bCs/>
          <w:b/>
        </w:rPr>
        <w:t xml:space="preserve">Jurisdiction:</w:t>
      </w:r>
      <w:r>
        <w:t xml:space="preserve"> </w:t>
      </w:r>
      <w:r>
        <w:t xml:space="preserve">United States, State of Florida (Miami-Dade County)</w:t>
      </w:r>
    </w:p>
    <w:p>
      <w:pPr>
        <w:pStyle w:val="BodyText"/>
      </w:pPr>
      <w:r>
        <w:rPr>
          <w:bCs/>
          <w:b/>
        </w:rPr>
        <w:t xml:space="preserve">Maintainer:</w:t>
      </w:r>
      <w:r>
        <w:t xml:space="preserve"> </w:t>
      </w:r>
      <w:r>
        <w:t xml:space="preserve">Registered Dietitian Nutritionist (RDN) Lead Team</w:t>
      </w:r>
    </w:p>
    <w:p>
      <w:pPr>
        <w:pStyle w:val="BodyText"/>
      </w:pPr>
      <w:r>
        <w:rPr>
          <w:bCs/>
          <w:b/>
        </w:rPr>
        <w:t xml:space="preserve">Patient Subject ID:</w:t>
      </w:r>
      <w:r>
        <w:t xml:space="preserve"> </w:t>
      </w:r>
      <w:r>
        <w:t xml:space="preserve">FL-MIA-2023-X99</w:t>
      </w:r>
    </w:p>
    <w:bookmarkStart w:id="20" w:name="i.-introduction-and-objectives"/>
    <w:p>
      <w:pPr>
        <w:pStyle w:val="Heading2"/>
      </w:pPr>
      <w:r>
        <w:t xml:space="preserve">I. Introduction and Objectives</w:t>
      </w:r>
    </w:p>
    <w:p>
      <w:pPr>
        <w:pStyle w:val="FirstParagraph"/>
      </w:pPr>
      <w:r>
        <w:t xml:space="preserve">The purpose of this</w:t>
      </w:r>
      <w:r>
        <w:t xml:space="preserve"> </w:t>
      </w:r>
      <w:r>
        <w:rPr>
          <w:bCs/>
          <w:b/>
        </w:rPr>
        <w:t xml:space="preserve">Laboratory Report</w:t>
      </w:r>
      <w:r>
        <w:t xml:space="preserve"> </w:t>
      </w:r>
      <w:r>
        <w:t xml:space="preserve">is to document the clinical findings, nutritional assessments, and subsequent dietary interventions for a patient population residing in</w:t>
      </w:r>
      <w:r>
        <w:t xml:space="preserve"> </w:t>
      </w:r>
      <w:r>
        <w:rPr>
          <w:bCs/>
          <w:b/>
        </w:rPr>
        <w:t xml:space="preserve">Miami, United States</w:t>
      </w:r>
      <w:r>
        <w:t xml:space="preserve">. This facility specializes in addressing the unique metabolic challenges presented by the subtropical climate and diverse cultural dietary patterns inherent to South Florida. The primary objective was to evaluate the efficacy of personalized meal planning on markers of insulin resistance and cardiovascular health among adults aged 35-50 suffering from pre-diabetic conditions.</w:t>
      </w:r>
      <w:r>
        <w:t xml:space="preserve"> </w:t>
      </w:r>
      <w:r>
        <w:t xml:space="preserve">In</w:t>
      </w:r>
      <w:r>
        <w:t xml:space="preserve"> </w:t>
      </w:r>
      <w:r>
        <w:rPr>
          <w:bCs/>
          <w:b/>
        </w:rPr>
        <w:t xml:space="preserve">Miami</w:t>
      </w:r>
      <w:r>
        <w:t xml:space="preserve">, the prevalence of lifestyle-related chronic diseases is significantly influenced by socioeconomic factors, access to fresh produce, and cultural culinary traditions. Consequently, this report emphasizes the critical role of a qualified</w:t>
      </w:r>
      <w:r>
        <w:t xml:space="preserve"> </w:t>
      </w:r>
      <w:r>
        <w:rPr>
          <w:bCs/>
          <w:b/>
        </w:rPr>
        <w:t xml:space="preserve">Dietitian</w:t>
      </w:r>
      <w:r>
        <w:t xml:space="preserve"> </w:t>
      </w:r>
      <w:r>
        <w:t xml:space="preserve">in translating complex biochemical data into actionable, culturally competent nutritional strategies. The integration of clinical nutrition science with local food accessibility is paramount for successful outcomes in this geographic region.</w:t>
      </w:r>
    </w:p>
    <w:bookmarkEnd w:id="20"/>
    <w:bookmarkStart w:id="24" w:name="ii.-methodology"/>
    <w:p>
      <w:pPr>
        <w:pStyle w:val="Heading2"/>
      </w:pPr>
      <w:r>
        <w:t xml:space="preserve">II. Methodology</w:t>
      </w:r>
    </w:p>
    <w:bookmarkStart w:id="21" w:name="a.-subject-recruitment-and-demographics"/>
    <w:p>
      <w:pPr>
        <w:pStyle w:val="Heading3"/>
      </w:pPr>
      <w:r>
        <w:t xml:space="preserve">A. Subject Recruitment and Demographics</w:t>
      </w:r>
    </w:p>
    <w:p>
      <w:pPr>
        <w:pStyle w:val="FirstParagraph"/>
      </w:pPr>
      <w:r>
        <w:t xml:space="preserve">Participants were recruited from community health clinics across</w:t>
      </w:r>
      <w:r>
        <w:t xml:space="preserve"> </w:t>
      </w:r>
      <w:r>
        <w:rPr>
          <w:bCs/>
          <w:b/>
        </w:rPr>
        <w:t xml:space="preserve">Miami, United States</w:t>
      </w:r>
      <w:r>
        <w:t xml:space="preserve">. The cohort consisted of 50 individuals diagnosed with metabolic syndrome risk factors. Demographic data indicated a high diversity in cultural backgrounds, reflecting the international nature of Miami. Inclusion criteria required participants to be engaged in regular outpatient care managed by a registered</w:t>
      </w:r>
      <w:r>
        <w:t xml:space="preserve"> </w:t>
      </w:r>
      <w:r>
        <w:rPr>
          <w:bCs/>
          <w:b/>
        </w:rPr>
        <w:t xml:space="preserve">Dietitian</w:t>
      </w:r>
      <w:r>
        <w:t xml:space="preserve">.</w:t>
      </w:r>
    </w:p>
    <w:bookmarkEnd w:id="21"/>
    <w:bookmarkStart w:id="22" w:name="b.-data-collection-protocols"/>
    <w:p>
      <w:pPr>
        <w:pStyle w:val="Heading3"/>
      </w:pPr>
      <w:r>
        <w:t xml:space="preserve">B. Data Collection Protocols</w:t>
      </w:r>
    </w:p>
    <w:p>
      <w:pPr>
        <w:pStyle w:val="FirstParagraph"/>
      </w:pPr>
      <w:r>
        <w:t xml:space="preserve">Baseline measurements included Body Mass Index (BMI), HbA1c levels, lipid profiles, and waist circumference. Dietary intake was assessed using three-day food records analyzed via nutrient-dense software specific to United States Department of Agriculture (USDA) standards. Qualitative interviews were conducted to identify barriers to healthy eating specific to</w:t>
      </w:r>
      <w:r>
        <w:t xml:space="preserve"> </w:t>
      </w:r>
      <w:r>
        <w:rPr>
          <w:bCs/>
          <w:b/>
        </w:rPr>
        <w:t xml:space="preserve">Miami</w:t>
      </w:r>
      <w:r>
        <w:t xml:space="preserve">, such as high humidity affecting appetite and the prevalence of processed foods in urban neighborhoods.</w:t>
      </w:r>
    </w:p>
    <w:bookmarkEnd w:id="22"/>
    <w:bookmarkStart w:id="23" w:name="c.-intervention-strategy"/>
    <w:p>
      <w:pPr>
        <w:pStyle w:val="Heading3"/>
      </w:pPr>
      <w:r>
        <w:t xml:space="preserve">C. Intervention Strategy</w:t>
      </w:r>
    </w:p>
    <w:p>
      <w:pPr>
        <w:pStyle w:val="FirstParagraph"/>
      </w:pPr>
      <w:r>
        <w:t xml:space="preserve">The intervention was led by certified</w:t>
      </w:r>
      <w:r>
        <w:t xml:space="preserve"> </w:t>
      </w:r>
      <w:r>
        <w:rPr>
          <w:bCs/>
          <w:b/>
        </w:rPr>
        <w:t xml:space="preserve">Dietitian</w:t>
      </w:r>
      <w:r>
        <w:t xml:space="preserve"> </w:t>
      </w:r>
      <w:r>
        <w:t xml:space="preserve">professionals who designed a 12-week program focused on Mediterranean-DASH (Dietary Approaches to Stop Hypertension) fusion diets. This approach respects local culinary preferences while adhering to strict nutritional guidelines. The</w:t>
      </w:r>
      <w:r>
        <w:t xml:space="preserve"> </w:t>
      </w:r>
      <w:r>
        <w:rPr>
          <w:bCs/>
          <w:b/>
        </w:rPr>
        <w:t xml:space="preserve">Laboratory Report</w:t>
      </w:r>
      <w:r>
        <w:t xml:space="preserve"> </w:t>
      </w:r>
      <w:r>
        <w:t xml:space="preserve">tracks changes in biomarkers weekly, correlating them with adherence levels monitored through mobile health applications accessible within the</w:t>
      </w:r>
      <w:r>
        <w:t xml:space="preserve"> </w:t>
      </w:r>
      <w:r>
        <w:rPr>
          <w:bCs/>
          <w:b/>
        </w:rPr>
        <w:t xml:space="preserve">Miami</w:t>
      </w:r>
      <w:r>
        <w:t xml:space="preserve"> </w:t>
      </w:r>
      <w:r>
        <w:t xml:space="preserve">digital infrastructure.</w:t>
      </w:r>
    </w:p>
    <w:bookmarkEnd w:id="23"/>
    <w:bookmarkEnd w:id="24"/>
    <w:bookmarkStart w:id="25" w:name="iii.-clinical-findings-and-data-analysis"/>
    <w:p>
      <w:pPr>
        <w:pStyle w:val="Heading2"/>
      </w:pPr>
      <w:r>
        <w:t xml:space="preserve">III. Clinical Findings and Data Analysis</w:t>
      </w:r>
    </w:p>
    <w:p>
      <w:pPr>
        <w:pStyle w:val="FirstParagraph"/>
      </w:pPr>
      <w:r>
        <w:t xml:space="preserve">The following table summarizes the key metrics recorded throughout the 12-week period. All values are averages of the cohort size (N=50).</w:t>
      </w:r>
    </w:p>
    <w:p>
      <w:pPr>
        <w:pStyle w:val="BodyText"/>
      </w:pPr>
      <w:r>
        <w:t xml:space="preserve">Metric</w:t>
      </w:r>
    </w:p>
    <w:p>
      <w:pPr>
        <w:pStyle w:val="BodyText"/>
      </w:pPr>
      <w:r>
        <w:t xml:space="preserve">Baseline (Week 0)</w:t>
      </w:r>
    </w:p>
    <w:p>
      <w:pPr>
        <w:pStyle w:val="BodyText"/>
      </w:pPr>
      <w:r>
        <w:t xml:space="preserve">Mid-Point (Week 6)</w:t>
      </w:r>
      <w:r>
        <w:br/>
      </w:r>
      <w:r>
        <w:t xml:space="preserve">- -- --- ----- ------ --------</w:t>
      </w:r>
    </w:p>
    <w:p>
      <w:pPr>
        <w:pStyle w:val="BodyText"/>
      </w:pPr>
      <w:r>
        <w:t xml:space="preserve">Avg. BMI (kg/m²)</w:t>
      </w:r>
    </w:p>
    <w:p>
      <w:pPr>
        <w:pStyle w:val="BodyText"/>
      </w:pPr>
      <w:r>
        <w:t xml:space="preserve">29.4</w:t>
      </w:r>
    </w:p>
    <w:p>
      <w:pPr>
        <w:pStyle w:val="BodyText"/>
      </w:pPr>
      <w:r>
        <w:t xml:space="preserve">28.1&lt; tr &gt;&lt; td &gt;Avg.HbA1c (%)&lt; td &gt;6.1&lt; t d &gt;5 .8&lt; /t d &gt;&lt; t r &gt; &lt; th&gt;Avg.LDL Cholesterol (mg/dL)</w:t>
      </w:r>
    </w:p>
    <w:p>
      <w:pPr>
        <w:pStyle w:val="BodyText"/>
      </w:pPr>
      <w:r>
        <w:t xml:space="preserve">135</w:t>
      </w:r>
    </w:p>
    <w:p>
      <w:pPr>
        <w:pStyle w:val="BodyText"/>
      </w:pPr>
      <w:r>
        <w:t xml:space="preserve">122</w:t>
      </w:r>
    </w:p>
    <w:p>
      <w:pPr>
        <w:pStyle w:val="BodyText"/>
      </w:pPr>
      <w:r>
        <w:t xml:space="preserve">Dietary Adherence Score (0-10)</w:t>
      </w:r>
    </w:p>
    <w:p>
      <w:pPr>
        <w:pStyle w:val="BodyText"/>
      </w:pPr>
      <w:r>
        <w:t xml:space="preserve">4.2&lt; td &gt;7 .8&lt; /t d &gt;&lt; tr &gt;&lt; th&gt;Systolic BP (mmHg)</w:t>
      </w:r>
    </w:p>
    <w:p>
      <w:pPr>
        <w:pStyle w:val="BodyText"/>
      </w:pPr>
      <w:r>
        <w:t xml:space="preserve">138</w:t>
      </w:r>
    </w:p>
    <w:p>
      <w:pPr>
        <w:pStyle w:val="BodyText"/>
      </w:pPr>
      <w:r>
        <w:t xml:space="preserve">130</w:t>
      </w:r>
    </w:p>
    <w:p>
      <w:pPr>
        <w:pStyle w:val="BodyText"/>
      </w:pPr>
      <w:r>
        <w:t xml:space="preserve">p&gt;The data indicates a statistically significant improvement in metabolic markers after six weeks. The role of the</w:t>
      </w:r>
      <w:r>
        <w:t xml:space="preserve"> </w:t>
      </w:r>
      <w:r>
        <w:rPr>
          <w:bCs/>
          <w:b/>
        </w:rPr>
        <w:t xml:space="preserve">Dietitian</w:t>
      </w:r>
      <w:r>
        <w:t xml:space="preserve"> </w:t>
      </w:r>
      <w:r>
        <w:t xml:space="preserve">was pivotal in this transition, as they provided continuous counseling to address the "Miami lifestyle" challenges, such as social events involving high-calorie alcoholic beverages and traditional Caribbean or Latin American dishes high in sodium and saturated fats.</w:t>
      </w:r>
    </w:p>
    <w:bookmarkEnd w:id="25"/>
    <w:bookmarkStart w:id="29" w:name="iv.-discussion"/>
    <w:p>
      <w:pPr>
        <w:pStyle w:val="Heading2"/>
      </w:pPr>
      <w:r>
        <w:t xml:space="preserve">IV. Discussion</w:t>
      </w:r>
    </w:p>
    <w:bookmarkStart w:id="26" w:name="a.-the-role-of-the-dietitian"/>
    <w:p>
      <w:pPr>
        <w:pStyle w:val="Heading3"/>
      </w:pPr>
      <w:r>
        <w:t xml:space="preserve">A. The Role of the Dietitian</w:t>
      </w:r>
    </w:p>
    <w:p>
      <w:pPr>
        <w:pStyle w:val="FirstParagraph"/>
      </w:pPr>
      <w:r>
        <w:t xml:space="preserve">The analysis confirms that professional guidance from a</w:t>
      </w:r>
      <w:r>
        <w:t xml:space="preserve"> </w:t>
      </w:r>
      <w:r>
        <w:rPr>
          <w:bCs/>
          <w:b/>
        </w:rPr>
        <w:t xml:space="preserve">Dietitian</w:t>
      </w:r>
      <w:r>
        <w:t xml:space="preserve"> </w:t>
      </w:r>
      <w:r>
        <w:t xml:space="preserve">is not merely advisory but essential for clinical improvement in this cohort. Unlike general wellness apps, a</w:t>
      </w:r>
      <w:r>
        <w:t xml:space="preserve"> </w:t>
      </w:r>
      <w:r>
        <w:rPr>
          <w:bCs/>
          <w:b/>
        </w:rPr>
        <w:t xml:space="preserve">Dietitian</w:t>
      </w:r>
      <w:r>
        <w:t xml:space="preserve"> </w:t>
      </w:r>
      <w:r>
        <w:t xml:space="preserve">provides nuanced adjustments based on real-time biological feedback. In this</w:t>
      </w:r>
      <w:r>
        <w:t xml:space="preserve"> </w:t>
      </w:r>
      <w:r>
        <w:rPr>
          <w:bCs/>
          <w:b/>
        </w:rPr>
        <w:t xml:space="preserve">Laboratory Report , we observed that patients who engaged with their assigned &lt; strong &gt; Dietitian bi-weekly showed a 40% higher adherence rate than those receiving only written materials.</w:t>
      </w:r>
    </w:p>
    <w:bookmarkEnd w:id="26"/>
    <w:bookmarkStart w:id="27" w:name="Xbb41f9b320fa03fda6c0dd08bd0fb34e0c9cab6"/>
    <w:p>
      <w:pPr>
        <w:pStyle w:val="Heading3"/>
      </w:pPr>
      <w:r>
        <w:t xml:space="preserve">B. Regional Specifics: Miami, United States Context</w:t>
      </w:r>
    </w:p>
    <w:p>
      <w:pPr>
        <w:pStyle w:val="FirstParagraph"/>
      </w:pPr>
      <w:r>
        <w:t xml:space="preserve">Conducting this study in</w:t>
      </w:r>
      <w:r>
        <w:t xml:space="preserve"> </w:t>
      </w:r>
      <w:r>
        <w:rPr>
          <w:bCs/>
          <w:b/>
        </w:rPr>
        <w:t xml:space="preserve">Miami, United States</w:t>
      </w:r>
      <w:r>
        <w:t xml:space="preserve"> </w:t>
      </w:r>
      <w:r>
        <w:t xml:space="preserve">presented unique environmental factors. The high heat and humidity often lead to decreased appetite for heavy meals but increased craving for sugary beverages due to rapid dehydration cycles. A competent &lt; strong &gt; Dietitian must account for these physiological responses by suggesting hydrating, nutrient-dense foods that are readily available in local Miami markets. Furthermore, the cost of living in</w:t>
      </w:r>
      <w:r>
        <w:t xml:space="preserve"> </w:t>
      </w:r>
      <w:r>
        <w:rPr>
          <w:bCs/>
          <w:b/>
        </w:rPr>
        <w:t xml:space="preserve">Miami</w:t>
      </w:r>
      <w:r>
        <w:t xml:space="preserve"> </w:t>
      </w:r>
      <w:r>
        <w:t xml:space="preserve">affects food choices; therefore, the intervention focused on affordable staples such as beans, lentils, and seasonal local fruits rather than expensive imported superfoods.</w:t>
      </w:r>
    </w:p>
    <w:bookmarkEnd w:id="27"/>
    <w:bookmarkStart w:id="28" w:name="c.-cultural-competency"/>
    <w:p>
      <w:pPr>
        <w:pStyle w:val="Heading3"/>
      </w:pPr>
      <w:r>
        <w:t xml:space="preserve">C. Cultural Competency</w:t>
      </w:r>
    </w:p>
    <w:p>
      <w:pPr>
        <w:pStyle w:val="FirstParagraph"/>
      </w:pPr>
      <w:r>
        <w:t xml:space="preserve">Success in</w:t>
      </w:r>
      <w:r>
        <w:t xml:space="preserve"> </w:t>
      </w:r>
      <w:r>
        <w:rPr>
          <w:bCs/>
          <w:b/>
        </w:rPr>
        <w:t xml:space="preserve">Miami depends heavily on cultural competency. The &lt; strong &gt; Dietitian team incorporated traditional flavors using healthier cooking methods (e.g., grilling instead of frying, reducing salt with herbal spices). This approach ensured that dietary changes were sustainable because they did not require patients to abandon their cultural identity in favor of a generic "diet."</w:t>
      </w:r>
    </w:p>
    <w:bookmarkEnd w:id="28"/>
    <w:bookmarkEnd w:id="29"/>
    <w:bookmarkStart w:id="30" w:name="v.-limitations"/>
    <w:p>
      <w:pPr>
        <w:pStyle w:val="Heading2"/>
      </w:pPr>
      <w:r>
        <w:t xml:space="preserve">V. Limitations</w:t>
      </w:r>
    </w:p>
    <w:p>
      <w:pPr>
        <w:pStyle w:val="FirstParagraph"/>
      </w:pPr>
      <w:r>
        <w:t xml:space="preserve">While this</w:t>
      </w:r>
      <w:r>
        <w:t xml:space="preserve"> </w:t>
      </w:r>
      <w:r>
        <w:rPr>
          <w:bCs/>
          <w:b/>
        </w:rPr>
        <w:t xml:space="preserve">Laboratory Report</w:t>
      </w:r>
      <w:r>
        <w:t xml:space="preserve"> </w:t>
      </w:r>
      <w:r>
        <w:t xml:space="preserve">provides robust data, certain limitations exist. The study duration was limited to 12 weeks, meaning long-term maintenance effects are yet to be fully documented. Additionally, self-reported food intake may contain biases despite the supervision of the &lt; strong &gt; Dietitian . The specific geographic focus on</w:t>
      </w:r>
      <w:r>
        <w:t xml:space="preserve"> </w:t>
      </w:r>
      <w:r>
        <w:rPr>
          <w:bCs/>
          <w:b/>
        </w:rPr>
        <w:t xml:space="preserve">Miami</w:t>
      </w:r>
      <w:r>
        <w:t xml:space="preserve"> </w:t>
      </w:r>
      <w:r>
        <w:t xml:space="preserve">means that results may not be directly translatable to inland United States locations with different agricultural outputs and cultural dietary norms.</w:t>
      </w:r>
    </w:p>
    <w:bookmarkEnd w:id="30"/>
    <w:bookmarkStart w:id="31" w:name="vi.-conclusion"/>
    <w:p>
      <w:pPr>
        <w:pStyle w:val="Heading2"/>
      </w:pPr>
      <w:r>
        <w:t xml:space="preserve">VI. Conclusion</w:t>
      </w:r>
    </w:p>
    <w:p>
      <w:pPr>
        <w:pStyle w:val="FirstParagraph"/>
      </w:pPr>
      <w:r>
        <w:t xml:space="preserve">This document serves as a comprehensive</w:t>
      </w:r>
      <w:r>
        <w:t xml:space="preserve"> </w:t>
      </w:r>
      <w:r>
        <w:rPr>
          <w:bCs/>
          <w:b/>
        </w:rPr>
        <w:t xml:space="preserve">Laboratory Report</w:t>
      </w:r>
      <w:r>
        <w:t xml:space="preserve"> </w:t>
      </w:r>
      <w:r>
        <w:t xml:space="preserve">detailing the impact of professional nutritional intervention in</w:t>
      </w:r>
      <w:r>
        <w:t xml:space="preserve"> </w:t>
      </w:r>
      <w:r>
        <w:rPr>
          <w:bCs/>
          <w:b/>
        </w:rPr>
        <w:t xml:space="preserve">Miami, United States . The findings unequivocally support the integration of registered &lt; strong &gt; Dietitian services in public health initiatives aimed at reducing metabolic disease burdens. By tailoring nutritional advice to the specific environmental, cultural, and economic contexts of</w:t>
      </w:r>
      <w:r>
        <w:rPr>
          <w:bCs/>
          <w:b/>
        </w:rPr>
        <w:t xml:space="preserve"> </w:t>
      </w:r>
      <w:r>
        <w:rPr>
          <w:bCs/>
          <w:b/>
          <w:bCs/>
          <w:b/>
        </w:rPr>
        <w:t xml:space="preserve">Miami</w:t>
      </w:r>
      <w:r>
        <w:rPr>
          <w:bCs/>
          <w:b/>
        </w:rPr>
        <w:t xml:space="preserve">, healthcare providers can achieve superior clinical outcomes.</w:t>
      </w:r>
      <w:r>
        <w:rPr>
          <w:bCs/>
          <w:b/>
        </w:rPr>
        <w:t xml:space="preserve"> </w:t>
      </w:r>
      <w:r>
        <w:rPr>
          <w:bCs/>
          <w:b/>
        </w:rPr>
        <w:t xml:space="preserve">Future research should expand this study to a longer timeframe and include genetic markers to further personalize the role of the &lt; strong &gt; Dietitian . For now, it is clear that in</w:t>
      </w:r>
      <w:r>
        <w:rPr>
          <w:bCs/>
          <w:b/>
        </w:rPr>
        <w:t xml:space="preserve"> </w:t>
      </w:r>
      <w:r>
        <w:rPr>
          <w:bCs/>
          <w:b/>
          <w:bCs/>
          <w:b/>
        </w:rPr>
        <w:t xml:space="preserve">Miami</w:t>
      </w:r>
      <w:r>
        <w:rPr>
          <w:bCs/>
          <w:b/>
        </w:rPr>
        <w:t xml:space="preserve"> </w:t>
      </w:r>
      <w:r>
        <w:rPr>
          <w:bCs/>
          <w:b/>
        </w:rPr>
        <w:t xml:space="preserve">, where lifestyle diseases are prevalent, the strategic application of evidence-based dietary science by qualified professionals is a critical component of modern healthcare.</w:t>
      </w:r>
    </w:p>
    <w:p>
      <w:pPr>
        <w:pStyle w:val="BodyText"/>
      </w:pPr>
      <w:r>
        <w:rPr>
          <w:bCs/>
          <w:b/>
        </w:rPr>
        <w:t xml:space="preserve">Final Note:</w:t>
      </w:r>
      <w:r>
        <w:t xml:space="preserve"> </w:t>
      </w:r>
      <w:r>
        <w:t xml:space="preserve">This report was compiled and reviewed by the Senior Staff</w:t>
      </w:r>
      <w:r>
        <w:t xml:space="preserve"> </w:t>
      </w:r>
      <w:r>
        <w:rPr>
          <w:iCs/>
          <w:i/>
        </w:rPr>
        <w:t xml:space="preserve">Dietitian</w:t>
      </w:r>
      <w:r>
        <w:t xml:space="preserve">. All protocols adhered to the regulations set forth by the Academy of Nutrition and Dietetics in the United States, with specific considerations for local health departments in Miami, Florida.</w:t>
      </w:r>
    </w:p>
    <w:p>
      <w:pPr>
        <w:pStyle w:val="BodyText"/>
      </w:pPr>
      <w:r>
        <w:t xml:space="preserve">© 2023 Miami Clinical Nutrition Research Center. All Rights Reserved.</w:t>
      </w:r>
    </w:p>
    <w:p>
      <w:pPr>
        <w:pStyle w:val="BodyText"/>
      </w:pPr>
      <w:r>
        <w:rPr>
          <w:iCs/>
          <w:i/>
        </w:rPr>
        <w:t xml:space="preserve">This document is confidential and intended for medical review purposes only.</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Nutritional Assessment and Dietary Intervention in Miami, United States</dc:title>
  <dc:creator/>
  <dc:language>en</dc:language>
  <cp:keywords/>
  <dcterms:created xsi:type="dcterms:W3CDTF">2026-07-29T18:22:06Z</dcterms:created>
  <dcterms:modified xsi:type="dcterms:W3CDTF">2026-07-29T18:22:06Z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