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Comprehensive</w:t>
      </w:r>
      <w:r>
        <w:t xml:space="preserve"> </w:t>
      </w:r>
      <w:r>
        <w:t xml:space="preserve">Diagnostic</w:t>
      </w:r>
      <w:r>
        <w:t xml:space="preserve"> </w:t>
      </w:r>
      <w:r>
        <w:t xml:space="preserve">Analysis</w:t>
      </w:r>
      <w:r>
        <w:t xml:space="preserve"> </w:t>
      </w:r>
      <w:r>
        <w:t xml:space="preserve">for</w:t>
      </w:r>
      <w:r>
        <w:t xml:space="preserve"> </w:t>
      </w:r>
      <w:r>
        <w:t xml:space="preserve">Primary</w:t>
      </w:r>
      <w:r>
        <w:t xml:space="preserve"> </w:t>
      </w:r>
      <w:r>
        <w:t xml:space="preserve">Care</w:t>
      </w:r>
      <w:r>
        <w:t xml:space="preserve"> </w:t>
      </w:r>
      <w:r>
        <w:t xml:space="preserve">Implementation</w:t>
      </w:r>
    </w:p>
    <w:bookmarkStart w:id="20" w:name="X744eef0050954d69886e7757a66a98712e766b6"/>
    <w:p>
      <w:pPr>
        <w:pStyle w:val="Heading1"/>
      </w:pPr>
      <w:r>
        <w:t xml:space="preserve">Clinical Laboratory Report and Diagnostic Framework for the Doctor General Practitioner in Argentina Buenos Aires</w:t>
      </w:r>
    </w:p>
    <w:p>
      <w:pPr>
        <w:pStyle w:val="FirstParagraph"/>
      </w:pPr>
      <w:r>
        <w:rPr>
          <w:bCs/>
          <w:b/>
        </w:rPr>
        <w:t xml:space="preserve">Date:</w:t>
      </w:r>
      <w:r>
        <w:t xml:space="preserve"> </w:t>
      </w:r>
      <w:r>
        <w:t xml:space="preserve">October 26, 2023</w:t>
      </w:r>
      <w:r>
        <w:br/>
      </w:r>
      <w:r>
        <w:rPr>
          <w:bCs/>
          <w:b/>
        </w:rPr>
        <w:t xml:space="preserve">Patient ID:</w:t>
      </w:r>
      <w:r>
        <w:t xml:space="preserve"> </w:t>
      </w:r>
      <w:r>
        <w:t xml:space="preserve">AGP-BA-9984</w:t>
      </w:r>
      <w:r>
        <w:br/>
      </w:r>
      <w:r>
        <w:rPr>
          <w:bCs/>
          <w:b/>
        </w:rPr>
        <w:t xml:space="preserve">Facility Location:</w:t>
      </w:r>
      <w:r>
        <w:t xml:space="preserve"> </w:t>
      </w:r>
      <w:r>
        <w:t xml:space="preserve">Doctor General Practitioner Clinic, Argentina Buenos Aires</w:t>
      </w:r>
    </w:p>
    <w:bookmarkEnd w:id="20"/>
    <w:bookmarkStart w:id="21" w:name="i.-introduction-and-contextual-relevance"/>
    <w:p>
      <w:pPr>
        <w:pStyle w:val="Heading2"/>
      </w:pPr>
      <w:r>
        <w:t xml:space="preserve">I. Introduction and Contextual Relevance</w:t>
      </w:r>
    </w:p>
    <w:p>
      <w:pPr>
        <w:pStyle w:val="FirstParagraph"/>
      </w:pPr>
      <w:r>
        <w:t xml:space="preserve">The role of the</w:t>
      </w:r>
      <w:r>
        <w:t xml:space="preserve"> </w:t>
      </w:r>
      <w:r>
        <w:rPr>
          <w:bCs/>
          <w:b/>
        </w:rPr>
        <w:t xml:space="preserve">Doctor General Practitioner</w:t>
      </w:r>
      <w:r>
        <w:t xml:space="preserve"> </w:t>
      </w:r>
      <w:r>
        <w:t xml:space="preserve">is pivotal within the healthcare architecture of any region, serving as the primary point of contact for patients seeking medical advice. In the specific context of</w:t>
      </w:r>
      <w:r>
        <w:t xml:space="preserve"> </w:t>
      </w:r>
      <w:r>
        <w:rPr>
          <w:bCs/>
          <w:b/>
        </w:rPr>
        <w:t xml:space="preserve">Argentina Buenos Aires</w:t>
      </w:r>
      <w:r>
        <w:t xml:space="preserve">, this role takes on unique characteristics influenced by local epidemiological patterns, cultural health practices, and systemic healthcare structures. This laboratory report aims to synthesize critical diagnostic data and clinical observations that directly inform the practice of a</w:t>
      </w:r>
      <w:r>
        <w:t xml:space="preserve"> </w:t>
      </w:r>
      <w:r>
        <w:rPr>
          <w:bCs/>
          <w:b/>
        </w:rPr>
        <w:t xml:space="preserve">Doctor General Practitioner</w:t>
      </w:r>
      <w:r>
        <w:t xml:space="preserve"> </w:t>
      </w:r>
      <w:r>
        <w:t xml:space="preserve">operating within the dynamic urban environment of</w:t>
      </w:r>
      <w:r>
        <w:t xml:space="preserve"> </w:t>
      </w:r>
      <w:r>
        <w:rPr>
          <w:bCs/>
          <w:b/>
        </w:rPr>
        <w:t xml:space="preserve">Argentina Buenos Aires</w:t>
      </w:r>
      <w:r>
        <w:t xml:space="preserve">.</w:t>
      </w:r>
      <w:r>
        <w:t xml:space="preserve"> </w:t>
      </w:r>
      <w:r>
        <w:t xml:space="preserve">The city of Buenos Aires presents a diverse demographic spectrum, ranging from historic neighborhoods with aging populations to modern sectors with high mobility. Consequently, the</w:t>
      </w:r>
      <w:r>
        <w:t xml:space="preserve"> </w:t>
      </w:r>
      <w:r>
        <w:rPr>
          <w:bCs/>
          <w:b/>
        </w:rPr>
        <w:t xml:space="preserve">Doctor General Practitioner must be adept at interpreting laboratory results that reflect a wide array of potential health issues, including infectious diseases endemic to the Southern Cone region (such as Chagas disease and Dengue), metabolic disorders linked to local dietary habits (including high consumption of red meats and processed foods), and respiratory conditions exacerbated by urban pollution. This document serves as a comprehensive guide for interpreting these laboratory findings, ensuring that the</w:t>
      </w:r>
      <w:r>
        <w:rPr>
          <w:bCs/>
          <w:b/>
        </w:rPr>
        <w:t xml:space="preserve"> </w:t>
      </w:r>
      <w:r>
        <w:rPr>
          <w:bCs/>
          <w:b/>
          <w:bCs/>
          <w:b/>
        </w:rPr>
        <w:t xml:space="preserve">Doctor General Practitioner</w:t>
      </w:r>
      <w:r>
        <w:rPr>
          <w:bCs/>
          <w:b/>
        </w:rPr>
        <w:t xml:space="preserve"> </w:t>
      </w:r>
      <w:r>
        <w:rPr>
          <w:bCs/>
          <w:b/>
        </w:rPr>
        <w:t xml:space="preserve">in</w:t>
      </w:r>
      <w:r>
        <w:rPr>
          <w:bCs/>
          <w:b/>
        </w:rPr>
        <w:t xml:space="preserve"> </w:t>
      </w:r>
      <w:r>
        <w:rPr>
          <w:bCs/>
          <w:b/>
          <w:bCs/>
          <w:b/>
        </w:rPr>
        <w:t xml:space="preserve">Argentina Buenos Aires</w:t>
      </w:r>
      <w:r>
        <w:rPr>
          <w:bCs/>
          <w:b/>
        </w:rPr>
        <w:t xml:space="preserve"> </w:t>
      </w:r>
      <w:r>
        <w:rPr>
          <w:bCs/>
          <w:b/>
        </w:rPr>
        <w:t xml:space="preserve">can provide evidence-based, precise, and culturally competent care.</w:t>
      </w:r>
    </w:p>
    <w:bookmarkEnd w:id="21"/>
    <w:bookmarkStart w:id="22" w:name="ii.-methodology-of-laboratory-analysis"/>
    <w:p>
      <w:pPr>
        <w:pStyle w:val="Heading2"/>
      </w:pPr>
      <w:r>
        <w:t xml:space="preserve">II. Methodology of Laboratory Analysis</w:t>
      </w:r>
    </w:p>
    <w:p>
      <w:pPr>
        <w:pStyle w:val="FirstParagraph"/>
      </w:pPr>
      <w:r>
        <w:t xml:space="preserve">To ensure accuracy in the clinical assessment provided by a</w:t>
      </w:r>
      <w:r>
        <w:t xml:space="preserve"> </w:t>
      </w:r>
      <w:r>
        <w:rPr>
          <w:bCs/>
          <w:b/>
        </w:rPr>
        <w:t xml:space="preserve">Doctor General Practitioner, standard laboratory protocols were followed in accordance with the national regulations set forth by Argentine health authorities. Blood samples were collected via venipuncture, adhering to strict aseptic techniques. The analysis included a Complete Blood Count (CBC), metabolic panels assessing renal and hepatic function, lipid profiles, and specific serological tests relevant to regional health concerns.</w:t>
      </w:r>
      <w:r>
        <w:rPr>
          <w:bCs/>
          <w:b/>
        </w:rPr>
        <w:t xml:space="preserve"> </w:t>
      </w:r>
      <w:r>
        <w:rPr>
          <w:bCs/>
          <w:b/>
        </w:rPr>
        <w:t xml:space="preserve">The laboratory utilized automated hematology analyzers for CBCs and colorimetric methods for biochemical assays. All reagents were certified by the Argentine National Administration of Drugs, Food and Medical Devices (ANMAT). The data presented in this report reflects the median values observed in similar patient cohorts within</w:t>
      </w:r>
      <w:r>
        <w:rPr>
          <w:bCs/>
          <w:b/>
        </w:rPr>
        <w:t xml:space="preserve"> </w:t>
      </w:r>
      <w:r>
        <w:rPr>
          <w:bCs/>
          <w:b/>
          <w:bCs/>
          <w:b/>
        </w:rPr>
        <w:t xml:space="preserve">Argentina Buenos Aires</w:t>
      </w:r>
      <w:r>
        <w:rPr>
          <w:bCs/>
          <w:b/>
        </w:rPr>
        <w:t xml:space="preserve">, providing a localized baseline for comparison. This localization is crucial because reference ranges can sometimes vary based on genetic predispositions and environmental factors specific to the Rioplatense region.</w:t>
      </w:r>
    </w:p>
    <w:bookmarkEnd w:id="22"/>
    <w:bookmarkStart w:id="26" w:name="Xf715bfec4f3a7509d9f0563f0fdea0623108ddc"/>
    <w:p>
      <w:pPr>
        <w:pStyle w:val="Heading2"/>
      </w:pPr>
      <w:r>
        <w:t xml:space="preserve">III. Clinical Findings and Laboratory Results</w:t>
      </w:r>
    </w:p>
    <w:p>
      <w:pPr>
        <w:pStyle w:val="FirstParagraph"/>
      </w:pPr>
      <w:r>
        <w:t xml:space="preserve">The following section details key laboratory indicators that a</w:t>
      </w:r>
      <w:r>
        <w:t xml:space="preserve"> </w:t>
      </w:r>
      <w:r>
        <w:rPr>
          <w:bCs/>
          <w:b/>
        </w:rPr>
        <w:t xml:space="preserve">Doctor General Practitioner</w:t>
      </w:r>
      <w:r>
        <w:t xml:space="preserve"> </w:t>
      </w:r>
      <w:r>
        <w:t xml:space="preserve">in</w:t>
      </w:r>
      <w:r>
        <w:t xml:space="preserve"> </w:t>
      </w:r>
      <w:r>
        <w:rPr>
          <w:bCs/>
          <w:b/>
        </w:rPr>
        <w:t xml:space="preserve">Argentina Buenos Aires</w:t>
      </w:r>
      <w:r>
        <w:t xml:space="preserve"> </w:t>
      </w:r>
      <w:r>
        <w:t xml:space="preserve">must prioritize during routine consultations. These findings highlight common pathologies and physiological markers prevalent in the local population.</w:t>
      </w:r>
    </w:p>
    <w:bookmarkStart w:id="23" w:name="Xb6f0630e22e72205414fce9ce9050c60ce52b53"/>
    <w:p>
      <w:pPr>
        <w:pStyle w:val="Heading3"/>
      </w:pPr>
      <w:r>
        <w:t xml:space="preserve">A. Hematological Profile: Infectious and Anemic Markers</w:t>
      </w:r>
    </w:p>
    <w:p>
      <w:pPr>
        <w:pStyle w:val="FirstParagraph"/>
      </w:pPr>
      <w:r>
        <w:t xml:space="preserve">A significant portion of consultations handled by a</w:t>
      </w:r>
      <w:r>
        <w:t xml:space="preserve"> </w:t>
      </w:r>
      <w:r>
        <w:rPr>
          <w:bCs/>
          <w:b/>
        </w:rPr>
        <w:t xml:space="preserve">Doctor General Practitioner</w:t>
      </w:r>
      <w:r>
        <w:t xml:space="preserve"> </w:t>
      </w:r>
      <w:r>
        <w:t xml:space="preserve">in this region involves symptoms that could indicate hematological abnormalities.</w:t>
      </w:r>
    </w:p>
    <w:p>
      <w:pPr>
        <w:numPr>
          <w:ilvl w:val="0"/>
          <w:numId w:val="1001"/>
        </w:numPr>
        <w:pStyle w:val="Compact"/>
      </w:pPr>
      <w:r>
        <w:rPr>
          <w:bCs/>
          <w:b/>
        </w:rPr>
        <w:t xml:space="preserve">Hemoglobin Levels:</w:t>
      </w:r>
      <w:r>
        <w:t xml:space="preserve"> </w:t>
      </w:r>
      <w:r>
        <w:t xml:space="preserve">Given the prevalence of iron-deficiency anemia among certain demographics, particularly women and children, monitoring hemoglobin is critical. Local dietary habits, while rich in protein, may lack sufficient bioavailable iron if not balanced with vitamin C-rich foods.</w:t>
      </w:r>
    </w:p>
    <w:p>
      <w:pPr>
        <w:numPr>
          <w:ilvl w:val="0"/>
          <w:numId w:val="1001"/>
        </w:numPr>
        <w:pStyle w:val="Compact"/>
      </w:pPr>
      <w:r>
        <w:rPr>
          <w:bCs/>
          <w:b/>
        </w:rPr>
        <w:t xml:space="preserve">White Blood Cell Count:</w:t>
      </w:r>
      <w:r>
        <w:t xml:space="preserve"> </w:t>
      </w:r>
      <w:r>
        <w:t xml:space="preserve">Elevated leukocytes often prompt investigation into bacterial infections. However, in</w:t>
      </w:r>
      <w:r>
        <w:t xml:space="preserve"> </w:t>
      </w:r>
      <w:r>
        <w:rPr>
          <w:bCs/>
          <w:b/>
        </w:rPr>
        <w:t xml:space="preserve">Argentina Buenos Aires</w:t>
      </w:r>
      <w:r>
        <w:t xml:space="preserve">, the seasonal rise in vector-borne diseases requires careful differentiation between common viral infections and those transmitted by *Aedes aegypti*, such as Dengue or Zika.</w:t>
      </w:r>
    </w:p>
    <w:bookmarkEnd w:id="23"/>
    <w:bookmarkStart w:id="24" w:name="Xed417b5f31754f77ef9a23f110c7929a887f5b9"/>
    <w:p>
      <w:pPr>
        <w:pStyle w:val="Heading3"/>
      </w:pPr>
      <w:r>
        <w:t xml:space="preserve">B. Metabolic Panel: Cardiovascular and Renal Health</w:t>
      </w:r>
    </w:p>
    <w:p>
      <w:pPr>
        <w:pStyle w:val="FirstParagraph"/>
      </w:pPr>
      <w:r>
        <w:t xml:space="preserve">Cardiovascular disease remains a leading cause of mortality in</w:t>
      </w:r>
      <w:r>
        <w:t xml:space="preserve"> </w:t>
      </w:r>
      <w:r>
        <w:rPr>
          <w:bCs/>
          <w:b/>
        </w:rPr>
        <w:t xml:space="preserve">Argentina Buenos Aires</w:t>
      </w:r>
      <w:r>
        <w:t xml:space="preserve">. The</w:t>
      </w:r>
      <w:r>
        <w:t xml:space="preserve"> </w:t>
      </w:r>
      <w:r>
        <w:rPr>
          <w:bCs/>
          <w:b/>
        </w:rPr>
        <w:t xml:space="preserve">Doctor General Practitioner</w:t>
      </w:r>
      <w:r>
        <w:t xml:space="preserve"> </w:t>
      </w:r>
      <w:r>
        <w:t xml:space="preserve">plays a preventive role by analyzing metabolic markers.</w:t>
      </w:r>
    </w:p>
    <w:p>
      <w:pPr>
        <w:numPr>
          <w:ilvl w:val="0"/>
          <w:numId w:val="1002"/>
        </w:numPr>
        <w:pStyle w:val="Compact"/>
      </w:pPr>
      <w:r>
        <w:t xml:space="preserve">Lipid Profile:A standard panel measuring Total Cholesterol, LDL, HDL, and Triglycerides is essential. High triglyceride levels are frequently observed in this demographic due to high caloric intake and sedentary urban lifestyles.</w:t>
      </w:r>
    </w:p>
    <w:p>
      <w:pPr>
        <w:numPr>
          <w:ilvl w:val="0"/>
          <w:numId w:val="1002"/>
        </w:numPr>
        <w:pStyle w:val="Compact"/>
      </w:pPr>
      <w:r>
        <w:rPr>
          <w:bCs/>
          <w:b/>
        </w:rPr>
        <w:t xml:space="preserve">Glucose Regulation:</w:t>
      </w:r>
      <w:r>
        <w:t xml:space="preserve">Fasting glucose and HbA1c tests are vital for early detection of type 2 diabetes. The rising obesity rates in metropolitan areas necessitate aggressive screening by the</w:t>
      </w:r>
    </w:p>
    <w:p>
      <w:pPr>
        <w:numPr>
          <w:ilvl w:val="0"/>
          <w:numId w:val="1000"/>
        </w:numPr>
        <w:pStyle w:val="Compact"/>
      </w:pPr>
      <w:r>
        <w:t xml:space="preserve">Doctor General Practitioner.</w:t>
      </w:r>
    </w:p>
    <w:p>
      <w:pPr>
        <w:numPr>
          <w:ilvl w:val="0"/>
          <w:numId w:val="1002"/>
        </w:numPr>
        <w:pStyle w:val="Compact"/>
      </w:pPr>
      <w:r>
        <w:t xml:space="preserve">Renal Function:Creatinine and Urea levels help assess kidney health, which is often compromised by hypertension or untreated metabolic syndrome.</w:t>
      </w:r>
    </w:p>
    <w:bookmarkEnd w:id="24"/>
    <w:bookmarkStart w:id="25" w:name="Xd83207d9c10284780caff09771e017caae8788a"/>
    <w:p>
      <w:pPr>
        <w:pStyle w:val="Heading3"/>
      </w:pPr>
      <w:r>
        <w:t xml:space="preserve">C. Regional Specifics: Serological Screening</w:t>
      </w:r>
    </w:p>
    <w:p>
      <w:pPr>
        <w:pStyle w:val="FirstParagraph"/>
      </w:pPr>
      <w:r>
        <w:t xml:space="preserve">In the context of a</w:t>
      </w:r>
      <w:r>
        <w:t xml:space="preserve"> </w:t>
      </w:r>
      <w:r>
        <w:rPr>
          <w:bCs/>
          <w:b/>
        </w:rPr>
        <w:t xml:space="preserve">Doctor General Practitioner</w:t>
      </w:r>
      <w:r>
        <w:t xml:space="preserve"> </w:t>
      </w:r>
      <w:r>
        <w:t xml:space="preserve">practicing in</w:t>
      </w:r>
      <w:r>
        <w:t xml:space="preserve"> </w:t>
      </w:r>
      <w:r>
        <w:rPr>
          <w:bCs/>
          <w:b/>
        </w:rPr>
        <w:t xml:space="preserve">Argentina Buenos Aires, serological testing for Chagas disease (*Trypanosoma cruzi*) is recommended for patients with risk factors, such as history of residence in endemic rural areas before migration to the capital. While urban transmission is rare, congenital or reactivation cases must be considered. Additionally, during summer months, rapid diagnostic tests for Dengue NS1 antigen are integrated into the initial workup for febrile illnesses by the</w:t>
      </w:r>
      <w:r>
        <w:rPr>
          <w:bCs/>
          <w:b/>
        </w:rPr>
        <w:t xml:space="preserve"> </w:t>
      </w:r>
      <w:r>
        <w:rPr>
          <w:bCs/>
          <w:b/>
          <w:bCs/>
          <w:b/>
        </w:rPr>
        <w:t xml:space="preserve">Doctor General Practitioner.</w:t>
      </w:r>
    </w:p>
    <w:bookmarkEnd w:id="25"/>
    <w:bookmarkEnd w:id="26"/>
    <w:bookmarkStart w:id="27" w:name="Xfd1cc9a7a26f829db0e298ab3f392fca56cf6e2"/>
    <w:p>
      <w:pPr>
        <w:pStyle w:val="Heading2"/>
      </w:pPr>
      <w:r>
        <w:t xml:space="preserve">IV. Discussion: Integrating Laboratory Data into Clinical Practice</w:t>
      </w:r>
    </w:p>
    <w:p>
      <w:pPr>
        <w:pStyle w:val="FirstParagraph"/>
      </w:pPr>
      <w:r>
        <w:t xml:space="preserve">The interpretation of laboratory results by a</w:t>
      </w:r>
      <w:r>
        <w:t xml:space="preserve"> </w:t>
      </w:r>
      <w:r>
        <w:rPr>
          <w:bCs/>
          <w:b/>
        </w:rPr>
        <w:t xml:space="preserve">Doctor General Practitioner</w:t>
      </w:r>
      <w:r>
        <w:t xml:space="preserve"> </w:t>
      </w:r>
      <w:r>
        <w:t xml:space="preserve">extends beyond numerical values; it requires an understanding of the socio-economic and environmental fabric of</w:t>
      </w:r>
      <w:r>
        <w:t xml:space="preserve"> </w:t>
      </w:r>
      <w:r>
        <w:rPr>
          <w:bCs/>
          <w:b/>
        </w:rPr>
        <w:t xml:space="preserve">Argentina Buenos Aires. For instance, access to healthcare can vary significantly between private insurance holders (Obras Sociales) and public health system users. The</w:t>
      </w:r>
      <w:r>
        <w:rPr>
          <w:bCs/>
          <w:b/>
        </w:rPr>
        <w:t xml:space="preserve"> </w:t>
      </w:r>
      <w:r>
        <w:rPr>
          <w:bCs/>
          <w:b/>
          <w:bCs/>
          <w:b/>
        </w:rPr>
        <w:t xml:space="preserve">Doctor General Practitioner must tailor diagnostic follow-ups based on the patient's ability to afford specialized care or advanced imaging, often relying heavily on the precision of initial laboratory data from primary care clinics.</w:t>
      </w:r>
      <w:r>
        <w:rPr>
          <w:bCs/>
          <w:b/>
          <w:bCs/>
          <w:b/>
        </w:rPr>
        <w:t xml:space="preserve"> </w:t>
      </w:r>
      <w:r>
        <w:rPr>
          <w:bCs/>
          <w:b/>
          <w:bCs/>
          <w:b/>
        </w:rPr>
        <w:t xml:space="preserve">Furthermore, cultural communication styles influence how lab results are conveyed. In</w:t>
      </w:r>
      <w:r>
        <w:rPr>
          <w:bCs/>
          <w:b/>
          <w:bCs/>
          <w:b/>
        </w:rPr>
        <w:t xml:space="preserve"> </w:t>
      </w:r>
      <w:r>
        <w:rPr>
          <w:bCs/>
          <w:b/>
          <w:bCs/>
          <w:b/>
          <w:bCs/>
          <w:b/>
        </w:rPr>
        <w:t xml:space="preserve">Argentina Buenos Aires, personal rapport is highly valued. A</w:t>
      </w:r>
      <w:r>
        <w:rPr>
          <w:bCs/>
          <w:b/>
          <w:bCs/>
          <w:b/>
          <w:bCs/>
          <w:b/>
        </w:rPr>
        <w:t xml:space="preserve"> </w:t>
      </w:r>
      <w:r>
        <w:rPr>
          <w:bCs/>
          <w:b/>
          <w:bCs/>
          <w:b/>
          <w:bCs/>
          <w:b/>
          <w:bCs/>
          <w:b/>
        </w:rPr>
        <w:t xml:space="preserve">Doctor General Practitioner must explain complex hematological or metabolic findings in an accessible manner, ensuring patient compliance with lifestyle modifications regarding diet and exercise, which are critical for managing the high prevalence of cardiovascular risks identified in the lab reports.</w:t>
      </w:r>
    </w:p>
    <w:bookmarkEnd w:id="27"/>
    <w:bookmarkStart w:id="28" w:name="v.-recommendations-for-future-practice"/>
    <w:p>
      <w:pPr>
        <w:pStyle w:val="Heading2"/>
      </w:pPr>
      <w:r>
        <w:t xml:space="preserve">V. Recommendations for Future Practice</w:t>
      </w:r>
    </w:p>
    <w:p>
      <w:pPr>
        <w:pStyle w:val="FirstParagraph"/>
      </w:pPr>
      <w:r>
        <w:t xml:space="preserve">To enhance diagnostic efficacy, it is recommended that</w:t>
      </w:r>
      <w:r>
        <w:t xml:space="preserve"> </w:t>
      </w:r>
      <w:r>
        <w:rPr>
          <w:bCs/>
          <w:b/>
        </w:rPr>
        <w:t xml:space="preserve">Doctor General Practitioner clinics in</w:t>
      </w:r>
      <w:r>
        <w:rPr>
          <w:bCs/>
          <w:b/>
        </w:rPr>
        <w:t xml:space="preserve"> </w:t>
      </w:r>
      <w:r>
        <w:rPr>
          <w:bCs/>
          <w:b/>
          <w:bCs/>
          <w:b/>
        </w:rPr>
        <w:t xml:space="preserve">Argentina Buenos Aires adopt standardized digital reporting systems that flag abnormal results against local epidemiological data. This would allow for quicker identification of outbreaks (such as seasonal flu or Dengue) and individual risk profiling. Additionally, continuous education on emerging infectious diseases affecting the region is essential for maintaining high standards of care.</w:t>
      </w:r>
    </w:p>
    <w:bookmarkEnd w:id="28"/>
    <w:bookmarkStart w:id="29" w:name="vi.-conclusion"/>
    <w:p>
      <w:pPr>
        <w:pStyle w:val="Heading2"/>
      </w:pPr>
      <w:r>
        <w:t xml:space="preserve">VI. Conclusion</w:t>
      </w:r>
    </w:p>
    <w:p>
      <w:pPr>
        <w:pStyle w:val="FirstParagraph"/>
      </w:pPr>
      <w:r>
        <w:t xml:space="preserve">This laboratory report underscores the critical importance of accurate diagnostic data in supporting the work of a</w:t>
      </w:r>
      <w:r>
        <w:t xml:space="preserve"> </w:t>
      </w:r>
      <w:r>
        <w:rPr>
          <w:bCs/>
          <w:b/>
        </w:rPr>
        <w:t xml:space="preserve">Doctor General Practitioner in</w:t>
      </w:r>
      <w:r>
        <w:rPr>
          <w:bCs/>
          <w:b/>
        </w:rPr>
        <w:t xml:space="preserve"> </w:t>
      </w:r>
      <w:r>
        <w:rPr>
          <w:bCs/>
          <w:b/>
          <w:bCs/>
          <w:b/>
        </w:rPr>
        <w:t xml:space="preserve">Argentina Buenos Aires</w:t>
      </w:r>
      <w:r>
        <w:rPr>
          <w:bCs/>
          <w:b/>
        </w:rPr>
        <w:t xml:space="preserve">. By understanding local health trends, from metabolic syndromes to vector-borne diseases, medical professionals can provide targeted interventions. The integration of rigorous laboratory analysis with compassionate, context-aware clinical judgment ensures that patients receive optimal care tailored to the unique healthcare landscape of this vibrant Argentine city.</w:t>
      </w:r>
    </w:p>
    <w:p>
      <w:pPr>
        <w:pStyle w:val="BodyText"/>
      </w:pPr>
      <w:r>
        <w:rPr>
          <w:iCs/>
          <w:i/>
        </w:rPr>
        <w:t xml:space="preserve">Disclaimer: This document is for educational and procedural reference purposes for medical professionals practicing in Argentina Buenos Aires. It does not constitute individual patient advice.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Comprehensive Diagnostic Analysis for Primary Care Implementation</dc:title>
  <dc:creator/>
  <cp:keywords/>
  <dcterms:created xsi:type="dcterms:W3CDTF">2026-07-29T05:56:52Z</dcterms:created>
  <dcterms:modified xsi:type="dcterms:W3CDTF">2026-07-29T05:56:52Z</dcterms:modified>
</cp:coreProperties>
</file>

<file path=docProps/custom.xml><?xml version="1.0" encoding="utf-8"?>
<Properties xmlns="http://schemas.openxmlformats.org/officeDocument/2006/custom-properties" xmlns:vt="http://schemas.openxmlformats.org/officeDocument/2006/docPropsVTypes"/>
</file>