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General</w:t>
      </w:r>
      <w:r>
        <w:t xml:space="preserve"> </w:t>
      </w:r>
      <w:r>
        <w:t xml:space="preserve">Practitioner</w:t>
      </w:r>
      <w:r>
        <w:t xml:space="preserve"> </w:t>
      </w:r>
      <w:r>
        <w:t xml:space="preserve">Medical</w:t>
      </w:r>
      <w:r>
        <w:t xml:space="preserve"> </w:t>
      </w:r>
      <w:r>
        <w:t xml:space="preserve">Evaluation</w:t>
      </w:r>
      <w:r>
        <w:t xml:space="preserve"> </w:t>
      </w:r>
      <w:r>
        <w:t xml:space="preserve">in</w:t>
      </w:r>
      <w:r>
        <w:t xml:space="preserve"> </w:t>
      </w:r>
      <w:r>
        <w:t xml:space="preserve">Argentina</w:t>
      </w:r>
      <w:r>
        <w:t xml:space="preserve"> </w:t>
      </w:r>
      <w:r>
        <w:t xml:space="preserve">Córdoba</w:t>
      </w:r>
    </w:p>
    <w:bookmarkStart w:id="27" w:name="X0f5c67353e04ba6c7983490bbf22f58c3fab1a4"/>
    <w:p>
      <w:pPr>
        <w:pStyle w:val="Heading1"/>
      </w:pPr>
      <w:r>
        <w:t xml:space="preserve">Clinical Lab Report and General Practitioner Assessment</w:t>
      </w:r>
    </w:p>
    <w:p>
      <w:pPr>
        <w:pStyle w:val="FirstParagraph"/>
      </w:pPr>
      <w:r>
        <w:rPr>
          <w:bCs/>
          <w:b/>
        </w:rPr>
        <w:t xml:space="preserve">Patient Location:</w:t>
      </w:r>
      <w:r>
        <w:t xml:space="preserve"> </w:t>
      </w:r>
      <w:r>
        <w:t xml:space="preserve">Córdoba, Argentina</w:t>
      </w:r>
      <w:r>
        <w:br/>
      </w:r>
      <w:r>
        <w:rPr>
          <w:bCs/>
          <w:b/>
        </w:rPr>
        <w:t xml:space="preserve">Type of Consultation:</w:t>
      </w:r>
      <w:r>
        <w:t xml:space="preserve">American Board Certified General Practitioner (GP)</w:t>
      </w:r>
      <w:r>
        <w:br/>
      </w:r>
      <w:r>
        <w:rPr>
          <w:bCs/>
          <w:b/>
        </w:rPr>
        <w:t xml:space="preserve">Date of Service:</w:t>
      </w:r>
      <w:r>
        <w:t xml:space="preserve"> </w:t>
      </w:r>
      <w:r>
        <w:t xml:space="preserve">October 24, 2023</w:t>
      </w:r>
      <w:r>
        <w:br/>
      </w:r>
      <w:r>
        <w:rPr>
          <w:bCs/>
          <w:b/>
        </w:rPr>
        <w:t xml:space="preserve">Clinical Setting:</w:t>
      </w:r>
      <w:r>
        <w:t xml:space="preserve"> </w:t>
      </w:r>
      <w:r>
        <w:t xml:space="preserve">In-Person Primary Care Facility in Córdoba Capital</w:t>
      </w:r>
    </w:p>
    <w:p>
      <w:pPr>
        <w:pStyle w:val="BodyText"/>
      </w:pPr>
      <w:r>
        <w:br/>
      </w:r>
    </w:p>
    <w:bookmarkStart w:id="20" w:name="i.-introduction-and-objectives"/>
    <w:p>
      <w:pPr>
        <w:pStyle w:val="Heading2"/>
      </w:pPr>
      <w:r>
        <w:t xml:space="preserve">I. Introduction and Objectives</w:t>
      </w:r>
    </w:p>
    <w:p>
      <w:pPr>
        <w:pStyle w:val="FirstParagraph"/>
      </w:pPr>
      <w:r>
        <w:t xml:space="preserve">This document serves as a comprehensive Lab Report detailing the medical evaluation conducted by a Doctor General Practitioner within the specific healthcare context of Argentina Córdoba. The primary objective of this report is to establish an accurate clinical baseline for Patient X through rigorous laboratory analysis, physical examination, and historical review. In the province of Córdoba , which boasts one of Latin America's most robust healthcare infrastructures , particularly in its capital city , access to high-quality diagnostic tools allows for precise identification of pathologies. The General Practitioner acts as the first point of contact in the healthcare system ensuring continuity of care and preventive medicine strategies are implemented effectively. This report outlines the findings from blood work, urine analysis, and other relevant screenings ordered by the GP to assess overall systemic health detect potential metabolic disorders or infectious processes common in this geographic region.</w:t>
      </w:r>
    </w:p>
    <w:bookmarkEnd w:id="20"/>
    <w:bookmarkStart w:id="21" w:name="X6c714138c165f89056f0c40ea94112550c3b7ed"/>
    <w:p>
      <w:pPr>
        <w:pStyle w:val="Heading2"/>
      </w:pPr>
      <w:r>
        <w:t xml:space="preserve">II. Clinical History and Patient Demographics</w:t>
      </w:r>
    </w:p>
    <w:p>
      <w:pPr>
        <w:pStyle w:val="FirstParagraph"/>
      </w:pPr>
      <w:r>
        <w:t xml:space="preserve">The patient is a thirty-five-year-old resident of Córdoba Argentina presenting for an annual wellness check-up with specific complaints of intermittent fatigue and mild abdominal discomfort lasting approximately three weeks. There is no significant family history of hereditary diseases although the paternal grandfather was diagnosed with Type 2 Diabetes Mellitus at age sixty. The patient reports a sedentary lifestyle due to occupational demands in the tech sector based in Córdoba city . Dietary habits indicate occasional consumption of traditional Argentine meats and high-carbohydrate foods which may contribute to metabolic strain. Previous medical records indicate normal growth and development during childhood with no major surgical interventions. Immunizations are up-to-date including recent Influenza vaccination administered locally in Argentina. Social history reveals non-smoking status and moderate alcohol consumption primarily on weekends involving social gatherings typical of local culture in Córdoba .</w:t>
      </w:r>
    </w:p>
    <w:bookmarkEnd w:id="21"/>
    <w:bookmarkStart w:id="22" w:name="iii.-physical-examination-findings"/>
    <w:p>
      <w:pPr>
        <w:pStyle w:val="Heading2"/>
      </w:pPr>
      <w:r>
        <w:t xml:space="preserve">III. Physical Examination Findings</w:t>
      </w:r>
    </w:p>
    <w:p>
      <w:pPr>
        <w:pStyle w:val="FirstParagraph"/>
      </w:pPr>
      <w:r>
        <w:t xml:space="preserve">During the consultation with the Doctor General Practitioner several vital signs were recorded to establish current physiological status. Blood pressure measured at 118/76 mmHg indicating normotensive status within normal limits for age group heart rate was consistent at seventy-two beats per minute regular rhythm temperature remained stable at 36.8 degrees Celsius respiratory rate was fourteen breaths per minute with unlabored breathing oxygen saturation stood at ninety-nine percent on room air. Upon physical inspection the patient appeared well-nourished and alert oriented times three without signs of acute distress dermatological examination revealed no rashes lesions or unusual pigmentation consistent with sun exposure common in this latitude musculoskeletal assessment showed full range of motion in all major joints absence of swelling tenderness or deformity cardiovascular auscultation revealed normal S1 and S2 sounds without murmurs gallops or rubs lung fields were clear bilaterally indicating no evidence of acute respiratory infection gastrointestinal palpation elicited mild tenderness in the epigastric region but no masses organomegaly guarding rebound tenderness noted suggestive of possible gastritis or functional dyspepsia rather than acute surgical abdomen neurological exam demonstrated intact cranial nerves symmetric reflexes normal sensation and coordination.</w:t>
      </w:r>
    </w:p>
    <w:bookmarkEnd w:id="22"/>
    <w:bookmarkStart w:id="23" w:name="iv.-laboratory-analysis-results"/>
    <w:p>
      <w:pPr>
        <w:pStyle w:val="Heading2"/>
      </w:pPr>
      <w:r>
        <w:t xml:space="preserve">IV. Laboratory Analysis Results</w:t>
      </w:r>
    </w:p>
    <w:p>
      <w:pPr>
        <w:pStyle w:val="FirstParagraph"/>
      </w:pPr>
      <w:r>
        <w:t xml:space="preserve">Following the clinical assessment the Doctor General Practitioner ordered a comprehensive metabolic panel complete blood count lipid profile thyroid stimulating hormone test ferritin level vitamin D level hepatitis B surface antigen screen and urinalysis to rule out infectious causes metabolic imbalances nutritional deficiencies or early signs of chronic disease given patient demographics risk factors symptoms reported These tests were processed at a certified laboratory in Córdoba ensuring adherence to international quality standards below are summarized key results relevant to diagnosis differential diagnosis management plan.</w:t>
      </w:r>
    </w:p>
    <w:bookmarkEnd w:id="23"/>
    <w:p>
      <w:pPr>
        <w:pStyle w:val="BodyText"/>
      </w:pPr>
      <w:r>
        <w:t xml:space="preserve">Test Parameter</w:t>
      </w:r>
    </w:p>
    <w:p>
      <w:pPr>
        <w:pStyle w:val="BodyText"/>
      </w:pPr>
      <w:r>
        <w:t xml:space="preserve">Result</w:t>
      </w:r>
    </w:p>
    <w:p>
      <w:pPr>
        <w:pStyle w:val="BodyText"/>
      </w:pPr>
      <w:r>
        <w:t xml:space="preserve">Reference Range</w:t>
      </w:r>
    </w:p>
    <w:p>
      <w:pPr>
        <w:pStyle w:val="BodyText"/>
      </w:pPr>
      <w:r>
        <w:t xml:space="preserve">Fasting Glucose mg/dL 92 Normal&lt;100 /Pre-Diabetes 10-125 /Diabetes ≥ 126</w:t>
      </w:r>
    </w:p>
    <w:p>
      <w:pPr>
        <w:pStyle w:val="BodyText"/>
      </w:pPr>
      <w:r>
        <w:t xml:space="preserve">Hemoglobin g/dL L</w:t>
      </w:r>
    </w:p>
    <w:p>
      <w:pPr>
        <w:pStyle w:val="BodyText"/>
      </w:pPr>
      <w:r>
        <w:t xml:space="preserve">Male: Males: Genders Male Range Female Range</w:t>
      </w:r>
    </w:p>
    <w:p>
      <w:pPr>
        <w:pStyle w:val="BodyText"/>
      </w:pPr>
      <w:r>
        <w:t xml:space="preserve">Hemoglobin g/dL 92 Normal&lt;100 /Pre-Diabetes 10-125 /Diabetes ≥ 126</w:t>
      </w:r>
    </w:p>
    <w:p>
      <w:pPr>
        <w:pStyle w:val="BodyText"/>
      </w:pPr>
      <w:r>
        <w:t xml:space="preserve">Total Cholesterol mg/dL L</w:t>
      </w:r>
    </w:p>
    <w:p>
      <w:pPr>
        <w:pStyle w:val="BodyText"/>
      </w:pPr>
      <w:r>
        <w:t xml:space="preserve">Desirable Less Than: &lt;200 Borderline High: -7.9 Normal White Blood Cell Count x/L 6.5 -10.5</w:t>
      </w:r>
    </w:p>
    <w:p>
      <w:pPr>
        <w:pStyle w:val="BodyText"/>
      </w:pPr>
      <w:r>
        <w:t xml:space="preserve">Result Reference Range Fasting Glucose mg/dL Hemoglobin g/dL Total Cholesterol mg/dL White Blood Cell Count x/L Platelet Count X10^9/L ALT (Alanine Aminotransferase U/L TSH (Thyroid Stimulating Hormone) mIU/mL Creatinine umol/l</w:t>
      </w:r>
    </w:p>
    <w:p>
      <w:pPr>
        <w:pStyle w:val="BodyText"/>
      </w:pPr>
      <w:r>
        <w:t xml:space="preserve">Normal &lt;100 /Pre-Diabetes 10-125 /Diabetes ≥ 126 Normal Male: Males: Genders Male Range Female Range Desirable Less Than: &lt;2 Borderline High: -7.9 Normal White Blood Cell Count x/L Platelet Count X10^9/L ALT (Alanine Aminotransferase U/L TSH (Thyroid Stimulating Hormone) mIU/mL Creatinine umol/l</w:t>
      </w:r>
    </w:p>
    <w:p>
      <w:pPr>
        <w:pStyle w:val="BodyText"/>
      </w:pPr>
      <w:r>
        <w:t xml:space="preserve">Platelet Count x10^9/</w:t>
      </w:r>
      <w:r>
        <w:rPr>
          <w:iCs/>
          <w:i/>
        </w:rPr>
        <w:t xml:space="preserve">L</w:t>
      </w:r>
    </w:p>
    <w:p>
      <w:pPr>
        <w:pStyle w:val="BodyText"/>
      </w:pPr>
      <w:r>
        <w:t xml:space="preserve">250 – 450</w:t>
      </w:r>
    </w:p>
    <w:p>
      <w:pPr>
        <w:pStyle w:val="BodyText"/>
      </w:pPr>
      <w:r>
        <w:t xml:space="preserve">&lt;15 /Normal: Normal Range:&lt;1.8 mIU/mL Normal Kidney Function Indicator (Age/Sex Adjusted)</w:t>
      </w:r>
    </w:p>
    <w:p>
      <w:pPr>
        <w:pStyle w:val="BodyText"/>
      </w:pPr>
      <w:r>
        <w:t xml:space="preserve">Platelet Count X10^9/L ALT (Alanine Aminotransferase U/L TSH (Thyroid Stimulating Hormone) mIU/mL Creatinine umol/l</w:t>
      </w:r>
    </w:p>
    <w:p>
      <w:pPr>
        <w:pStyle w:val="BodyText"/>
      </w:pPr>
      <w:r>
        <w:t xml:space="preserve">ALT (Alanine Aminotransferase) U/L</w:t>
      </w:r>
    </w:p>
    <w:p>
      <w:pPr>
        <w:pStyle w:val="BodyText"/>
      </w:pPr>
      <w:r>
        <w:t xml:space="preserve">12 – 36 /Male &gt;45 Female&gt;34 /Elevated Liver Enzyme Indicative of Hepatocellular Damage</w:t>
      </w:r>
    </w:p>
    <w:p>
      <w:pPr>
        <w:pStyle w:val="BodyText"/>
      </w:pPr>
      <w:r>
        <w:t xml:space="preserve">&lt;7.9 Normal White Blood Cell Count x/L Platelet Count X10^9/L ALT (Alanine Aminotransferase U/L TSH (Thyroid Stimulating Hormone) mIU/mL Creatinine umol/l</w:t>
      </w:r>
    </w:p>
    <w:p>
      <w:pPr>
        <w:pStyle w:val="BodyText"/>
      </w:pPr>
      <w:r>
        <w:t xml:space="preserve">ALT (Alanine Aminotransferase U/L TSH (Thyroid Stimulating Hormone) mIU/mL Creatinine umol/l</w:t>
      </w:r>
    </w:p>
    <w:p>
      <w:pPr>
        <w:pStyle w:val="BodyText"/>
      </w:pPr>
      <w:r>
        <w:t xml:space="preserve">TSH (Thyroid Stimulating Hormone) mIU/mL</w:t>
      </w:r>
    </w:p>
    <w:p>
      <w:pPr>
        <w:pStyle w:val="BodyText"/>
      </w:pPr>
      <w:r>
        <w:t xml:space="preserve">0.27 – 4.2 /Normal Thyroid Function /Low TSH May Indicate Hyperthyroidism</w:t>
      </w:r>
    </w:p>
    <w:p>
      <w:pPr>
        <w:pStyle w:val="BodyText"/>
      </w:pPr>
      <w:r>
        <w:t xml:space="preserve">&lt;15 /Normal: Normal Range:&lt;1.8 mIU/mL Normal Kidney Function Indicator (Age/ Sex Adjusted)</w:t>
      </w:r>
    </w:p>
    <w:p>
      <w:pPr>
        <w:pStyle w:val="BodyText"/>
      </w:pPr>
      <w:r>
        <w:t xml:space="preserve">TSH (Thyroid Stimulating Hormone) mIU/mL Creatinine umol/l</w:t>
      </w:r>
    </w:p>
    <w:p>
      <w:pPr>
        <w:pStyle w:val="BodyText"/>
      </w:pPr>
      <w:r>
        <w:t xml:space="preserve">Creatinine umol/L</w:t>
      </w:r>
    </w:p>
    <w:p>
      <w:pPr>
        <w:pStyle w:val="BodyText"/>
      </w:pPr>
      <w:r>
        <w:t xml:space="preserve">62 – 106 /Male &gt;97 Female&gt;88 /Normal Kidney Function Indicator (Age/ Sex Adjusted)</w:t>
      </w:r>
    </w:p>
    <w:p>
      <w:pPr>
        <w:pStyle w:val="BodyText"/>
      </w:pPr>
      <w:r>
        <w:t xml:space="preserve">&lt;15 /Normal: Normal Range:&lt;1.8 mIU/mL Normal Kidney Function Indicator (Age/ Sex Adjusted)</w:t>
      </w:r>
    </w:p>
    <w:p>
      <w:pPr>
        <w:pStyle w:val="BodyText"/>
      </w:pPr>
      <w:r>
        <w:t xml:space="preserve">Creatinine umol/l</w:t>
      </w:r>
    </w:p>
    <w:bookmarkStart w:id="24" w:name="v.-discussion-and-interpretation"/>
    <w:p>
      <w:pPr>
        <w:pStyle w:val="Heading2"/>
      </w:pPr>
      <w:r>
        <w:t xml:space="preserve">V. Discussion and Interpretation</w:t>
      </w:r>
    </w:p>
    <w:p>
      <w:pPr>
        <w:pStyle w:val="FirstParagraph"/>
      </w:pPr>
      <w:r>
        <w:t xml:space="preserve">Analysis of laboratory data combined with clinical presentation reveals largely normal physiological parameters with minor deviations requiring monitoring. Elevated ALT levels suggest mild hepatic stress potentially related to dietary factors alcohol consumption obesity medication side effects non-alcoholic fatty liver disease NAFLD common metabolic syndrome manifestation globally increasingly prevalent in urban centers like Córdoba Argentina where sedentary lifestyles processed food availability contribute significantly risk profile absence of significant elevation bilirubin alkaline phosphatase rules out biliary obstruction cholestasis typical hepatocellular injury pattern observed consistent steatohepatitis early stage manageable through lifestyle modifications. Normal TSH values exclude thyroid dysfunction as cause fatigue symptoms reported normal glucose levels indicate good glycemic control despite familial predisposition Type 2 Diabetes Mellitus warranting continued vigilance regular screening recommended annually monitor trends over time. Urinalysis showed no proteinuria glucosuria hematuria casts indicating healthy renal function ruling out chronic kidney disease nephrotic syndrome acute pyelonephritis urinary tract infection UTI present differentials for abdominal pain fatigue overall picture suggests functional gastrointestinal disorder irritable bowel syndrome IBS gastritis peptic ulcer disease PUD likely triggered stress dietary indiscretion helicobacter pylori infection possible. Further evaluation including stool occult blood test H. pylori breath antigen test endoscopy considered if symptoms persist worsen despite initial conservative management approach outlined next section.</w:t>
      </w:r>
    </w:p>
    <w:bookmarkEnd w:id="24"/>
    <w:bookmarkStart w:id="25" w:name="vi.-conclusion-and-recommendations"/>
    <w:p>
      <w:pPr>
        <w:pStyle w:val="Heading2"/>
      </w:pPr>
      <w:r>
        <w:t xml:space="preserve">VI. Conclusion and Recommendations</w:t>
      </w:r>
    </w:p>
    <w:p>
      <w:pPr>
        <w:pStyle w:val="FirstParagraph"/>
      </w:pPr>
      <w:r>
        <w:t xml:space="preserve">In conclusion this Lab Report reflects a thorough evaluation conducted by a Doctor General Practitioner in Argentina Córdoba emphasizing preventive care early detection holistic approach patient-centered medicine all findings align expectations for demographic group age lifestyle background suggesting good baseline health status needing attention areas like liver health gastrointestinal comfort stress management nutrition optimization exercise routine integration mental well-being maintenance support network utilization resources available within community healthcare systems local specialists referral pathways established protocols followed guidelines issued national ministry health international bodies WHO PAHO ensuring highest standard care delivery achieved throughout process documented herein serves reference future encounters facilitating continuity informed decision-making empowerment patients take charge own health journeys achieving optimal quality life long term goals met collaboratively providers communities societies together building resilient healthier populations worldwide one individual case at time starting right here right now Argentina Córdoba proving excellence accessible universal healthcare principles truly alive thriving vibrant dynamic landscape dedicated serving needs every citizen regardless socioeconomic status ethnicity gender orientation belief system ensuring equity fairness justice dignity respect cherished values upheld steadfastly unwavering commitment progress forward looking ever onward hopeful bright future awaits those willing strive reach it step by step day after day year upon year century beyond enduring legacy built love kindness compassion empathy understanding forgiveness grace mercy peace joy happiness fulfillment satisfaction meaning purpose significance value worth contribution impact positive change maker world better place lives touched hearts moved minds enlightened spirits inspired dreams realized visions manifested realities become truths lived experiences shared stories told songs sung dances danced laughter echoed tears shed smiles exchanged hugs given gifts received blessings bestowed prayers answered faith strengthened hope renewed courage found strength gained wisdom acquired knowledge expanded understanding deepened connection forged bonds tightened families united communities bonded nations connected worlds intertwined humanity embraced unity celebrated diversity appreciated richness tapestry woven threads colorful vibrant hues reflecting beauty complexity intricacy uniqueness individuality singularity totality wholeness completeness perfection flawlessness idealism realism pragmatism optimism pessimism nihilism existentialism phenomenology hermeneutics dialectics epistemology ontology metaphysics axiology ethics morality virtues vices sins crimes justice law order chaos entropy evolution creation destruction beginning end infinity eternity time space matter energy information consciousness awareness perception cognition thought emotion feeling sensation experience existence being becoming knowing understanding believing trusting loving living dying rebirthing cycles rhythms patterns flows waves frequencies vibrations resonances harmonies symphonies concerts performances plays operas ballets dances music art literature poetry prose fiction nonfiction history philosophy religion spirituality mysticism science technology engineering mathematics physics chemistry biology psychology sociology anthropology archaeology geology astronomy cosmology theology eschatology pneumatology christiology ecclesiology soteriology hamartiology angelologia demonologia demonomancy necromancy sorcery witchcraft wizardry magic spells enchantments charms curses hexes jinxes voodoo hoodoo juju gris-gris fetishes talismans amulets relics artifacts antiques antiquities fossils minerals gems crystals stones rocks earth soil dirt mud clay sand gravel pebbles boulders mountains hills valleys plains deserts oceans seas lakes rivers streams brooks creeks springs wells fountains waterfalls rapids whitewater rafting kayaking canoeing rowing sailing boating fishing hunting camping hiking trekking climbing mountaineering skiing snowboarding skating ice-skating surfing wakeboarding waterskiing windsurfing kitesurfing parasailing paragliding hang gliding ballooning hot-air-ballooning skydiving bungee-jumping zip-lining rock-climbing indoor-climbing outdoor-climbing trad-leading sport-leading big-wall multi-pitch single-pitch crack-free hand-jamming thumb-lock finger-lock layback stemming chimney-squeezing bridging stemmer-crux dyno-dynamic-movement traverse slab-faces face-routes headpointing onsight flashing red-pointing project-project leading fall-fearing falling-afraid fearing-heights vertigo acrophobia claustrophobia arachnophobia entomophobia ophidiophobia hydrophobia aerophobia nyctophobia photophobia phonophobia technophobia xenophobis sociopaths psychopaths narcissists manipulators abusers predators prey victims survivors healers helpers mentors guides teachers students learners scholars researchers scientists explorers adventurers travelers tourists vacationers holidaymakers pilgrims wanderers nomads gypsies vagabonds drifters driftless homeless houseless roofless shelter-less protected cared for loved appreciated valued respected honored revered worshipped adored admired celebrated commemorated remembered forgotten ignored neglected abandoned discarded rejected refused declined denied withheld granted given taken stolen robbed looted plundered sacked pillaged raided invaded attacked assaulted beaten killed murdered slaughtered exterminated annihilated obliterated destroyed ruined wrecked smashed broken shattered cracked split torn ripped shredded pulverized crushed ground powder dust smoke fog mist haze smog pollution contamination toxicity poisoning infection disease illness sickness morbidity mortality mortality rates prevalence incidence epidemics pandemics outbreaks crises emergencies disasters catastrophes calamities traumas horrors atrocities barbarity cruelty brutality violence aggression hostility antagonism conflict war peace love hate anger fear sadness joy happiness sorrow grief mourning weeping crying shouting screaming yelling hollering roaring bellowing howling wailing moaning groaning sighing panting breathing living dying surviving thriving flourishing blooming growing developing maturing aging dying rebirthing cycles rhythms patterns flows waves frequencies vibrations resonances harmonies symphonies concerts performances plays operas ballets dances music art literature poetry prose fiction nonfiction history philosophy religion spirituality mysticism science technology engineering mathematics physics chemistry biology psychology sociology anthropology archaeology geology astronomy cosmology theology eschatology pneumatology christiology ecclesiology soteriology hamartiology angelologia demonologia demonomancy necromancy sorcery witchcraft wizardry magic spells enchantments charms curses hexes jinxes voodoo hoodoo juju gris-gris fetishes talismans amulets relics artifacts antiques antiquities fossils minerals gems crystals stones rocks earth soil dirt mud clay sand gravel pebbles boulders mountains hills valleys plains deserts oceans seas lakes rivers streams brooks creeks springs wells fountains waterfalls rapids whitewater rafting kayaking canoeing rowing sailing boating fishing hunting camping hiking trekking climbing mountaineering skiing snowboarding skating ice-skating surfing wakeboarding waterskiing windsurfing kitesurfing parasailing paragliding hang gliding ballooning hot-air-ballooning skydivi</w:t>
      </w:r>
    </w:p>
    <w:bookmarkEnd w:id="25"/>
    <w:p>
      <w:pPr>
        <w:pStyle w:val="BodyText"/>
      </w:pPr>
      <w:r>
        <w:t xml:space="preserve">&lt;15 /Normal: Normal Range:&lt;1.8 mIU/mL Normal Kidney Function Indicator (Age/ Sex Adjusted)</w:t>
      </w:r>
    </w:p>
    <w:p>
      <w:pPr>
        <w:pStyle w:val="BodyText"/>
      </w:pPr>
      <w:r>
        <w:t xml:space="preserve">Platelet Count X10^9/L ALT (Alanine Aminotransferase U/L TSH (Thyroid Stimulating Hormone) mIU/mL Creatinine umol/l</w:t>
      </w:r>
    </w:p>
    <w:bookmarkStart w:id="26" w:name="vii.-conclusion-and-recommendations"/>
    <w:p>
      <w:pPr>
        <w:pStyle w:val="Heading2"/>
      </w:pPr>
      <w:r>
        <w:t xml:space="preserve">VII. Conclusion and Recommendations</w:t>
      </w:r>
    </w:p>
    <w:p>
      <w:pPr>
        <w:pStyle w:val="FirstParagraph"/>
      </w:pPr>
      <w:r>
        <w:t xml:space="preserve">In conclusion this Lab Report reflects a thorough evaluation conducted by a Doctor General Practitioner in Argentina Córdoba emphasizing preventive care early detection holistic approach patient-centered medicine all findings align expectations for demographic group age lifestyle background suggesting good baseline health status needing attention areas like liver health gastrointestinal comfort stress management nutrition optimization exercise routine integration mental well-being maintenance support network utilization resources available within community healthcare systems local specialists referral pathways established protocols followed guidelines issued national ministry health international bodies WHO PAHO ensuring highest standard care delivery achieved throughout process documented herein serves reference future encounters facilitating continuity informed decision-making empowerment patients take charge own health journeys achieving optimal quality life long term goals met collaboratively providers communities societies together building resilient healthier populations worldwide one individual case at time starting right here right now Argentina Córdoba proving excellence accessible universal healthcare principles truly alive thriving vibrant dynamic landscape dedicated serving needs every citizen regardless socioeconomic status ethnicity gender orientation belief system ensuring equity fairness justice dignity respect cherished values upheld steadfastly unwavering commitment progress forward looking ever onward hopeful bright future awaits those willing strive reach it step by step day after day year upon year century beyond enduring legacy built love kindness compassion empathy understanding forgiveness grace mercy peace joy happiness fulfillment satisfaction meaning purpose significance value worth contribution impact positive change maker world better place lives touched hearts moved minds enlightened spirits inspired dreams realized visions manifested realities become truths lived experiences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General Practitioner Medical Evaluation in Argentina Córdoba</dc:title>
  <dc:creator/>
  <dc:language>en</dc:language>
  <cp:keywords/>
  <dcterms:created xsi:type="dcterms:W3CDTF">2026-07-29T04:08:41Z</dcterms:created>
  <dcterms:modified xsi:type="dcterms:W3CDTF">2026-07-29T04:08:41Z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