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Evaluation</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Primary</w:t>
      </w:r>
      <w:r>
        <w:t xml:space="preserve"> </w:t>
      </w:r>
      <w:r>
        <w:t xml:space="preserve">Care</w:t>
      </w:r>
      <w:r>
        <w:t xml:space="preserve"> </w:t>
      </w:r>
      <w:r>
        <w:t xml:space="preserve">Protocols</w:t>
      </w:r>
      <w:r>
        <w:t xml:space="preserve"> </w:t>
      </w:r>
      <w:r>
        <w:t xml:space="preserve">for</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Urban</w:t>
      </w:r>
      <w:r>
        <w:t xml:space="preserve"> </w:t>
      </w:r>
      <w:r>
        <w:t xml:space="preserve">China,</w:t>
      </w:r>
      <w:r>
        <w:t xml:space="preserve"> </w:t>
      </w:r>
      <w:r>
        <w:t xml:space="preserve">Beijing</w:t>
      </w:r>
    </w:p>
    <w:bookmarkStart w:id="28" w:name="laboratory-diagnostic-evaluation-report"/>
    <w:p>
      <w:pPr>
        <w:pStyle w:val="Heading1"/>
      </w:pPr>
      <w:r>
        <w:t xml:space="preserve">Laboratory Diagnostic Evaluation Report</w:t>
      </w:r>
    </w:p>
    <w:bookmarkStart w:id="20" w:name="X89bc8c156235c9a46dc80a60aff3b96072d4cc1"/>
    <w:p>
      <w:pPr>
        <w:pStyle w:val="Heading3"/>
      </w:pPr>
      <w:r>
        <w:rPr>
          <w:bCs/>
          <w:b/>
        </w:rPr>
        <w:t xml:space="preserve">Focused Subject:</w:t>
      </w:r>
      <w:r>
        <w:t xml:space="preserve"> </w:t>
      </w:r>
      <w:r>
        <w:t xml:space="preserve">Doctor General Practitioner Operational Frameworks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Commission of Beijing</w:t>
      </w:r>
      <w:r>
        <w:br/>
      </w:r>
      <w:r>
        <w:t xml:space="preserve">Department of Public Health Research &amp; Epidemiology</w:t>
      </w:r>
      <w:r>
        <w:br/>
      </w:r>
      <w:r>
        <w:br/>
      </w:r>
      <w:r>
        <w:rPr>
          <w:iCs/>
          <w:i/>
        </w:rPr>
        <w:t xml:space="preserve">This Laboratory Report provides a detailed examination of the diagnostic capabilities, workflow efficiencies, and healthcare integration challenges faced by the Doctor General Practitioner within the specific epidemiological and infrastructural context of China Beijing. The report aims to establish standardized protocols for primary care diagnostics.</w:t>
      </w:r>
    </w:p>
    <w:bookmarkEnd w:id="20"/>
    <w:bookmarkStart w:id="21" w:name="introduction-and-objectives"/>
    <w:p>
      <w:pPr>
        <w:pStyle w:val="Heading2"/>
      </w:pPr>
      <w:r>
        <w:t xml:space="preserve">1. Introduction and Objectives</w:t>
      </w:r>
    </w:p>
    <w:p>
      <w:pPr>
        <w:pStyle w:val="FirstParagraph"/>
      </w:pPr>
      <w:r>
        <w:t xml:space="preserve">The primary objective of this laboratory report is to analyze the role, diagnostic accuracy, and operational environment of the</w:t>
      </w:r>
      <w:r>
        <w:t xml:space="preserve"> </w:t>
      </w:r>
      <w:r>
        <w:rPr>
          <w:bCs/>
          <w:b/>
        </w:rPr>
        <w:t xml:space="preserve">Doctor General Practitioner</w:t>
      </w:r>
      <w:r>
        <w:t xml:space="preserve">. The geographic scope is strictly defined as</w:t>
      </w:r>
      <w:r>
        <w:t xml:space="preserve"> </w:t>
      </w:r>
      <w:r>
        <w:rPr>
          <w:bCs/>
          <w:b/>
        </w:rPr>
        <w:t xml:space="preserve">China Beijing</w:t>
      </w:r>
      <w:r>
        <w:t xml:space="preserve">, a metropolis characterized by high population density, advanced medical infrastructure, and unique epidemiological patterns. As urban centers in China continue to expand, the burden on primary care systems increases. This report seeks to evaluate how the general practitioner serves as the first point of contact in this complex healthcare ecosystem.</w:t>
      </w:r>
    </w:p>
    <w:p>
      <w:pPr>
        <w:pStyle w:val="BodyText"/>
      </w:pPr>
      <w:r>
        <w:t xml:space="preserve">The specific goals include assessing the integration of traditional laboratory diagnostics with modern telemedicine solutions available in Beijing, evaluating patient volume management strategies for the</w:t>
      </w:r>
      <w:r>
        <w:t xml:space="preserve"> </w:t>
      </w:r>
      <w:r>
        <w:rPr>
          <w:bCs/>
          <w:b/>
        </w:rPr>
        <w:t xml:space="preserve">Doctor General Practitioner</w:t>
      </w:r>
      <w:r>
        <w:t xml:space="preserve">, and identifying gaps in diagnostic resources that may affect treatment outcomes. By focusing on</w:t>
      </w:r>
      <w:r>
        <w:t xml:space="preserve"> </w:t>
      </w:r>
      <w:r>
        <w:rPr>
          <w:bCs/>
          <w:b/>
        </w:rPr>
        <w:t xml:space="preserve">China Beijing</w:t>
      </w:r>
      <w:r>
        <w:t xml:space="preserve">, we highlight a microcosm of urban healthcare challenges present across developing nations.</w:t>
      </w:r>
    </w:p>
    <w:bookmarkEnd w:id="21"/>
    <w:bookmarkStart w:id="22" w:name="X09044280dc7285123da6cf6356bd4260b5fceb3"/>
    <w:p>
      <w:pPr>
        <w:pStyle w:val="Heading2"/>
      </w:pPr>
      <w:r>
        <w:t xml:space="preserve">2. Methodology: Laboratory Assessment Framework</w:t>
      </w:r>
    </w:p>
    <w:p>
      <w:pPr>
        <w:pStyle w:val="FirstParagraph"/>
      </w:pPr>
      <w:r>
        <w:t xml:space="preserve">Data collection for this report utilized a mixed-methods approach, combining quantitative laboratory metrics with qualitative operational audits conducted within community health centers in various districts of</w:t>
      </w:r>
      <w:r>
        <w:t xml:space="preserve"> </w:t>
      </w:r>
      <w:r>
        <w:rPr>
          <w:bCs/>
          <w:b/>
        </w:rPr>
        <w:t xml:space="preserve">China Beijing</w:t>
      </w:r>
      <w:r>
        <w:t xml:space="preserve">, including Chaoyang, Haidian, and Dongcheng. The following parameters were measured:</w:t>
      </w:r>
    </w:p>
    <w:p>
      <w:pPr>
        <w:numPr>
          <w:ilvl w:val="0"/>
          <w:numId w:val="1001"/>
        </w:numPr>
        <w:pStyle w:val="Compact"/>
      </w:pPr>
      <w:r>
        <w:rPr>
          <w:bCs/>
          <w:b/>
        </w:rPr>
        <w:t xml:space="preserve">Digital Integration Rates:</w:t>
      </w:r>
      <w:r>
        <w:t xml:space="preserve"> </w:t>
      </w:r>
      <w:r>
        <w:t xml:space="preserve">The percentage of records managed by the Doctor General Practitioner that are digitally accessible within the municipal health cloud.</w:t>
      </w:r>
    </w:p>
    <w:p>
      <w:pPr>
        <w:numPr>
          <w:ilvl w:val="0"/>
          <w:numId w:val="1001"/>
        </w:numPr>
        <w:pStyle w:val="Compact"/>
      </w:pPr>
      <w:r>
        <w:rPr>
          <w:bCs/>
          <w:b/>
        </w:rPr>
        <w:t xml:space="preserve">Turnaround Times (TAT):</w:t>
      </w:r>
      <w:r>
        <w:t xml:space="preserve"> </w:t>
      </w:r>
      <w:r>
        <w:t xml:space="preserve">Average time from sample collection to result delivery for common pathologies.</w:t>
      </w:r>
    </w:p>
    <w:p>
      <w:pPr>
        <w:numPr>
          <w:ilvl w:val="0"/>
          <w:numId w:val="1001"/>
        </w:numPr>
        <w:pStyle w:val="Compact"/>
      </w:pPr>
      <w:r>
        <w:rPr>
          <w:bCs/>
          <w:b/>
        </w:rPr>
        <w:t xml:space="preserve">Clinical Volume:</w:t>
      </w:r>
      <w:r>
        <w:t xml:space="preserve"> </w:t>
      </w:r>
      <w:r>
        <w:t xml:space="preserve">The average number of patient consultations per day handled by a Doctor General Practitioner in public vs. private settings in</w:t>
      </w:r>
      <w:r>
        <w:t xml:space="preserve"> </w:t>
      </w:r>
      <w:r>
        <w:rPr>
          <w:bCs/>
          <w:b/>
        </w:rPr>
        <w:t xml:space="preserve">China Beijing</w:t>
      </w:r>
      <w:r>
        <w:t xml:space="preserve">.</w:t>
      </w:r>
    </w:p>
    <w:p>
      <w:pPr>
        <w:numPr>
          <w:ilvl w:val="0"/>
          <w:numId w:val="1001"/>
        </w:numPr>
        <w:pStyle w:val="Compact"/>
      </w:pPr>
      <w:r>
        <w:rPr>
          <w:bCs/>
          <w:b/>
        </w:rPr>
        <w:t xml:space="preserve">Patient Satisfaction Scores:</w:t>
      </w:r>
      <w:r>
        <w:t xml:space="preserve"> </w:t>
      </w:r>
      <w:r>
        <w:t xml:space="preserve">Derived from post-consultation surveys regarding diagnostic clarity and communication.</w:t>
      </w:r>
    </w:p>
    <w:bookmarkEnd w:id="22"/>
    <w:bookmarkStart w:id="23" w:name="Xa7493a704fd2dc67f59d97f27a42a68286456b3"/>
    <w:p>
      <w:pPr>
        <w:pStyle w:val="Heading2"/>
      </w:pPr>
      <w:r>
        <w:t xml:space="preserve">3. Current Landscape of Primary Care in China Beijing</w:t>
      </w:r>
    </w:p>
    <w:p>
      <w:pPr>
        <w:pStyle w:val="FirstParagraph"/>
      </w:pPr>
      <w:r>
        <w:t xml:space="preserve">The healthcare system in</w:t>
      </w:r>
    </w:p>
    <w:p>
      <w:pPr>
        <w:pStyle w:val="BodyText"/>
      </w:pPr>
      <w:r>
        <w:t xml:space="preserve">China Beijing</w:t>
      </w:r>
    </w:p>
    <w:p>
      <w:pPr>
        <w:pStyle w:val="BodyText"/>
      </w:pPr>
      <w:r>
        <w:t xml:space="preserve">Doctor General Practitioner has become pivotal in managing chronic diseases such as hypertension and diabetes, which are prevalent in aging urban populations.</w:t>
      </w:r>
    </w:p>
    <w:p>
      <w:pPr>
        <w:pStyle w:val="BodyText"/>
      </w:pPr>
      <w:r>
        <w:t xml:space="preserve">In</w:t>
      </w:r>
      <w:r>
        <w:t xml:space="preserve"> </w:t>
      </w:r>
      <w:r>
        <w:rPr>
          <w:bCs/>
          <w:b/>
        </w:rPr>
        <w:t xml:space="preserve">China Beijing</w:t>
      </w:r>
      <w:r>
        <w:t xml:space="preserve">, there is a notable disparity between the equipment available in large hospitals and community clinics. While major hospitals possess state-of-the-art imaging and molecular testing facilities, the local community health centers—where most General Practitioners work—rely heavily on rapid diagnostic tests (RDTs) and basic hematology analyzers. This report highlights that for a Doctor General Practitioner to be effective in</w:t>
      </w:r>
      <w:r>
        <w:t xml:space="preserve"> </w:t>
      </w:r>
      <w:r>
        <w:rPr>
          <w:bCs/>
          <w:b/>
        </w:rPr>
        <w:t xml:space="preserve">China Beijing</w:t>
      </w:r>
      <w:r>
        <w:t xml:space="preserve">, they must possess strong clinical judgment to determine when referral is necessary, as their local laboratory capabilities may be limited.</w:t>
      </w:r>
    </w:p>
    <w:bookmarkEnd w:id="23"/>
    <w:bookmarkStart w:id="24" w:name="X75fb7ae7a9b1e8634b973e6bac58fe4b815ca73"/>
    <w:p>
      <w:pPr>
        <w:pStyle w:val="Heading2"/>
      </w:pPr>
      <w:r>
        <w:t xml:space="preserve">4. Diagnostic Protocols and Laboratory Integration</w:t>
      </w:r>
    </w:p>
    <w:p>
      <w:pPr>
        <w:pStyle w:val="FirstParagraph"/>
      </w:pPr>
      <w:r>
        <w:t xml:space="preserve">A critical finding of this study relates to the standardization of diagnostic protocols. The</w:t>
      </w:r>
      <w:r>
        <w:t xml:space="preserve"> </w:t>
      </w:r>
      <w:r>
        <w:rPr>
          <w:bCs/>
          <w:b/>
        </w:rPr>
        <w:t xml:space="preserve">Doctor General Practitioner</w:t>
      </w:r>
      <w:r>
        <w:t xml:space="preserve"> </w:t>
      </w:r>
      <w:r>
        <w:t xml:space="preserve">in</w:t>
      </w:r>
      <w:r>
        <w:t xml:space="preserve"> </w:t>
      </w:r>
      <w:r>
        <w:rPr>
          <w:bCs/>
          <w:b/>
        </w:rPr>
        <w:t xml:space="preserve">China Beijing</w:t>
      </w:r>
    </w:p>
    <w:p>
      <w:pPr>
        <w:pStyle w:val="BodyText"/>
      </w:pPr>
      <w:r>
        <w:t xml:space="preserve">The integration of laboratory data into electronic health records (EHRs) is more advanced in</w:t>
      </w:r>
      <w:r>
        <w:t xml:space="preserve"> </w:t>
      </w:r>
      <w:r>
        <w:rPr>
          <w:bCs/>
          <w:b/>
        </w:rPr>
        <w:t xml:space="preserve">China Beijing</w:t>
      </w:r>
      <w:r>
        <w:t xml:space="preserve"> </w:t>
      </w:r>
      <w:r>
        <w:t xml:space="preserve">compared to rural regions. Most Doctor General Practitioners now utilize mobile health applications to view lab results instantly. This digital connectivity reduces the delay between diagnosis and treatment initiation. However, discrepancies in reference ranges for certain biomarkers across different laboratory machines used by various hospitals can complicate longitudinal care managed by the general practitioner.</w:t>
      </w:r>
    </w:p>
    <w:bookmarkEnd w:id="24"/>
    <w:bookmarkStart w:id="25" w:name="Xe00577d81cdbc82b2d7f36958660a006a9a22c4"/>
    <w:p>
      <w:pPr>
        <w:pStyle w:val="Heading2"/>
      </w:pPr>
      <w:r>
        <w:t xml:space="preserve">5. Challenges Faced by the Doctor General Practitioner</w:t>
      </w:r>
    </w:p>
    <w:p>
      <w:pPr>
        <w:pStyle w:val="FirstParagraph"/>
      </w:pPr>
      <w:r>
        <w:rPr>
          <w:bCs/>
          <w:b/>
        </w:rPr>
        <w:t xml:space="preserve">a) High Patient Volume:</w:t>
      </w:r>
      <w:r>
        <w:br/>
      </w:r>
      <w:r>
        <w:t xml:space="preserve">In districts like Chaoyang, a single</w:t>
      </w:r>
      <w:r>
        <w:t xml:space="preserve"> </w:t>
      </w:r>
      <w:r>
        <w:rPr>
          <w:bCs/>
          <w:b/>
        </w:rPr>
        <w:t xml:space="preserve">Doctor General Practitioner</w:t>
      </w:r>
      <w:r>
        <w:t xml:space="preserve">China Beijing</w:t>
      </w:r>
    </w:p>
    <w:p>
      <w:pPr>
        <w:pStyle w:val="BodyText"/>
      </w:pPr>
      <w:r>
        <w:rPr>
          <w:bCs/>
          <w:b/>
        </w:rPr>
        <w:t xml:space="preserve">b) Diagnostic Ambiguity:</w:t>
      </w:r>
      <w:r>
        <w:br/>
      </w:r>
      <w:r>
        <w:t xml:space="preserve">Without immediate access to specialized imaging or advanced genomic testing, the</w:t>
      </w:r>
      <w:r>
        <w:t xml:space="preserve"> </w:t>
      </w:r>
      <w:r>
        <w:rPr>
          <w:bCs/>
          <w:b/>
        </w:rPr>
        <w:t xml:space="preserve">Doctor General Practitioner</w:t>
      </w:r>
      <w:r>
        <w:t xml:space="preserve">China Beijing.</w:t>
      </w:r>
    </w:p>
    <w:p>
      <w:pPr>
        <w:pStyle w:val="BodyText"/>
      </w:pPr>
      <w:r>
        <w:rPr>
          <w:bCs/>
          <w:b/>
        </w:rPr>
        <w:t xml:space="preserve">c) Resource Allocation:</w:t>
      </w:r>
      <w:r>
        <w:br/>
      </w:r>
      <w:r>
        <w:t xml:space="preserve">While</w:t>
      </w:r>
      <w:r>
        <w:t xml:space="preserve"> </w:t>
      </w:r>
      <w:r>
        <w:rPr>
          <w:bCs/>
          <w:b/>
        </w:rPr>
        <w:t xml:space="preserve">China Beijing</w:t>
      </w:r>
    </w:p>
    <w:bookmarkEnd w:id="25"/>
    <w:bookmarkStart w:id="26" w:name="recommendations-for-optimization"/>
    <w:p>
      <w:pPr>
        <w:pStyle w:val="Heading2"/>
      </w:pPr>
      <w:r>
        <w:t xml:space="preserve">6. Recommendations for Optimization</w:t>
      </w:r>
    </w:p>
    <w:p>
      <w:pPr>
        <w:pStyle w:val="FirstParagraph"/>
      </w:pPr>
      <w:r>
        <w:t xml:space="preserve">To enhance the effectiveness of the</w:t>
      </w:r>
      <w:r>
        <w:t xml:space="preserve"> </w:t>
      </w:r>
      <w:r>
        <w:rPr>
          <w:bCs/>
          <w:b/>
        </w:rPr>
        <w:t xml:space="preserve">Doctor General Practitioner</w:t>
      </w:r>
      <w:r>
        <w:t xml:space="preserve">[1]</w:t>
      </w:r>
      <w:r>
        <w:t xml:space="preserve">, this laboratory report proposes several strategic interventions:</w:t>
      </w:r>
    </w:p>
    <w:p>
      <w:pPr>
        <w:numPr>
          <w:ilvl w:val="0"/>
          <w:numId w:val="1002"/>
        </w:numPr>
        <w:pStyle w:val="Compact"/>
      </w:pPr>
      <w:r>
        <w:rPr>
          <w:bCs/>
          <w:b/>
        </w:rPr>
        <w:t xml:space="preserve">Digital Diagnostic Assistants:</w:t>
      </w:r>
    </w:p>
    <w:p>
      <w:pPr>
        <w:numPr>
          <w:ilvl w:val="0"/>
          <w:numId w:val="1000"/>
        </w:numPr>
        <w:pStyle w:val="Compact"/>
      </w:pPr>
      <w:r>
        <w:t xml:space="preserve">China Beijing</w:t>
      </w:r>
    </w:p>
    <w:p>
      <w:pPr>
        <w:numPr>
          <w:ilvl w:val="0"/>
          <w:numId w:val="1002"/>
        </w:numPr>
        <w:pStyle w:val="Compact"/>
      </w:pPr>
      <w:r>
        <w:rPr>
          <w:bCs/>
          <w:b/>
        </w:rPr>
        <w:t xml:space="preserve">Standardized Reference Ranges:</w:t>
      </w:r>
    </w:p>
    <w:p>
      <w:pPr>
        <w:numPr>
          <w:ilvl w:val="0"/>
          <w:numId w:val="1002"/>
        </w:numPr>
        <w:pStyle w:val="Compact"/>
      </w:pPr>
      <w:r>
        <w:rPr>
          <w:bCs/>
          <w:b/>
        </w:rPr>
        <w:t xml:space="preserve">Continuing Education on Lab Medicine:</w:t>
      </w:r>
    </w:p>
    <w:p>
      <w:pPr>
        <w:numPr>
          <w:ilvl w:val="0"/>
          <w:numId w:val="1000"/>
        </w:numPr>
        <w:pStyle w:val="Compact"/>
      </w:pPr>
      <w:r>
        <w:t xml:space="preserve">China Beijing</w:t>
      </w:r>
    </w:p>
    <w:p>
      <w:pPr>
        <w:numPr>
          <w:ilvl w:val="0"/>
          <w:numId w:val="1002"/>
        </w:numPr>
        <w:pStyle w:val="Compact"/>
      </w:pPr>
      <w:r>
        <w:rPr>
          <w:bCs/>
          <w:b/>
        </w:rPr>
        <w:t xml:space="preserve">Better Referral Pathways:</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Doctor General Practitioner</w:t>
      </w:r>
      <w:r>
        <w:t xml:space="preserve">China Beijing. This laboratory report demonstrates that while infrastructure is robust, the human element remains under significant strain. The integration of advanced diagnostic technologies with compassionate, comprehensive primary care is essential. By addressing the challenges outlined in this report—specifically regarding workload management, diagnostic standardization, and digital integration—the healthcare system in</w:t>
      </w:r>
      <w:r>
        <w:t xml:space="preserve"> </w:t>
      </w:r>
      <w:r>
        <w:rPr>
          <w:bCs/>
          <w:b/>
        </w:rPr>
        <w:t xml:space="preserve">China Beijing</w:t>
      </w:r>
    </w:p>
    <w:p>
      <w:r>
        <w:pict>
          <v:rect style="width:0;height:1.5pt" o:hralign="center" o:hrstd="t" o:hr="t"/>
        </w:pict>
      </w:r>
    </w:p>
    <w:p>
      <w:pPr>
        <w:pStyle w:val="FirstParagraph"/>
      </w:pPr>
      <w:r>
        <w:rPr>
          <w:vertAlign w:val="superscript"/>
        </w:rPr>
        <w:t xml:space="preserve">[1]</w:t>
      </w:r>
      <w:r>
        <w:t xml:space="preserve">Note: "Doctor General Practitioner" is used interchangeably with "Community Health Center Physician" in the context of Beijing's municipal healthcare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Evaluation Report: Comprehensive Analysis of Primary Care Protocols for the General Practitioner in Urban China, Beijing</dc:title>
  <dc:creator/>
  <cp:keywords/>
  <dcterms:created xsi:type="dcterms:W3CDTF">2026-07-29T07:14:49Z</dcterms:created>
  <dcterms:modified xsi:type="dcterms:W3CDTF">2026-07-29T07:14:49Z</dcterms:modified>
</cp:coreProperties>
</file>

<file path=docProps/custom.xml><?xml version="1.0" encoding="utf-8"?>
<Properties xmlns="http://schemas.openxmlformats.org/officeDocument/2006/custom-properties" xmlns:vt="http://schemas.openxmlformats.org/officeDocument/2006/docPropsVTypes"/>
</file>