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Report:</w:t>
      </w:r>
      <w:r>
        <w:t xml:space="preserve"> </w:t>
      </w:r>
      <w:r>
        <w:t xml:space="preserve">General</w:t>
      </w:r>
      <w:r>
        <w:t xml:space="preserve"> </w:t>
      </w:r>
      <w:r>
        <w:t xml:space="preserve">Practitioner</w:t>
      </w:r>
      <w:r>
        <w:t xml:space="preserve"> </w:t>
      </w:r>
      <w:r>
        <w:t xml:space="preserve">Assessment</w:t>
      </w:r>
      <w:r>
        <w:t xml:space="preserve"> </w:t>
      </w:r>
      <w:r>
        <w:t xml:space="preserve">in</w:t>
      </w:r>
      <w:r>
        <w:t xml:space="preserve"> </w:t>
      </w:r>
      <w:r>
        <w:t xml:space="preserve">Alexandria,</w:t>
      </w:r>
      <w:r>
        <w:t xml:space="preserve"> </w:t>
      </w:r>
      <w:r>
        <w:t xml:space="preserve">Egypt</w:t>
      </w:r>
    </w:p>
    <w:bookmarkStart w:id="29" w:name="X300b03f24f65f99929f3ecdbdd7d1ce0fe1eee9"/>
    <w:p>
      <w:pPr>
        <w:pStyle w:val="Heading1"/>
      </w:pPr>
      <w:r>
        <w:t xml:space="preserve">Laboratory and Clinical Report: General Practitioner Assessment in Alexandria, Egypt</w:t>
      </w:r>
    </w:p>
    <w:p>
      <w:pPr>
        <w:pStyle w:val="FirstParagraph"/>
      </w:pPr>
      <w:r>
        <w:rPr>
          <w:bCs/>
          <w:b/>
        </w:rPr>
        <w:t xml:space="preserve">Date:</w:t>
      </w:r>
      <w:r>
        <w:t xml:space="preserve"> </w:t>
      </w:r>
      <w:r>
        <w:t xml:space="preserve">October 24, 2023</w:t>
      </w:r>
      <w:r>
        <w:br/>
      </w:r>
      <w:r>
        <w:rPr>
          <w:bCs/>
          <w:b/>
        </w:rPr>
        <w:t xml:space="preserve">Patient ID:</w:t>
      </w:r>
      <w:r>
        <w:t xml:space="preserve">Alex-Gen-Pract-8920</w:t>
      </w:r>
      <w:r>
        <w:br/>
      </w:r>
      <w:r>
        <w:rPr>
          <w:bCs/>
          <w:b/>
        </w:rPr>
        <w:t xml:space="preserve">Clinic Location:</w:t>
      </w:r>
      <w:r>
        <w:t xml:space="preserve"> </w:t>
      </w:r>
      <w:r>
        <w:t xml:space="preserve">Smouha District, Alexandria Governorate, Egypt</w:t>
      </w:r>
      <w:r>
        <w:br/>
      </w:r>
      <w:r>
        <w:rPr>
          <w:bCs/>
          <w:b/>
        </w:rPr>
        <w:t xml:space="preserve">Attending Physician:</w:t>
      </w:r>
      <w:r>
        <w:t xml:space="preserve"> </w:t>
      </w:r>
      <w:r>
        <w:t xml:space="preserve">Dr. Ahmed El-Sayed, M.D.</w:t>
      </w:r>
      <w:r>
        <w:br/>
      </w:r>
      <w:r>
        <w:t xml:space="preserve">This document serves as a comprehensive Lab Report detailing the findings of a General Practitioner consultation within the specific healthcare context of Alexandria.</w:t>
      </w:r>
    </w:p>
    <w:bookmarkStart w:id="20" w:name="introduction-and-contextual-background"/>
    <w:p>
      <w:pPr>
        <w:pStyle w:val="Heading2"/>
      </w:pPr>
      <w:r>
        <w:t xml:space="preserve">1. Introduction and Contextual Background</w:t>
      </w:r>
    </w:p>
    <w:p>
      <w:pPr>
        <w:pStyle w:val="FirstParagraph"/>
      </w:pPr>
      <w:r>
        <w:t xml:space="preserve">This report is designed to illustrate the standard operating procedures, diagnostic methodologies, and clinical observations conducted by a Doctor General Practitioner (GP) within the city of Egypt Alexandria. As a major metropolitan hub on the Mediterranean coast, Alexandria presents unique epidemiological challenges that differ from other regions in Egypt. The climate is humid due to its coastal location on the Mediterranean Sea, which significantly influences local health patterns, including higher incidences of respiratory ailments and vector-borne diseases compared to inland desert cities like Cairo or Luxor.</w:t>
      </w:r>
    </w:p>
    <w:p>
      <w:pPr>
        <w:pStyle w:val="BodyText"/>
      </w:pPr>
      <w:r>
        <w:t xml:space="preserve">The role of the Doctor General Practitioner in this setting is multifaceted. They serve as the first point of contact for primary care, managing acute infections, chronic disease monitoring (such as diabetes and hypertension), and preventative health screenings. This Lab Report documents a hypothetical but clinically representative case to demonstrate how environmental factors in Egypt Alexandria interact with patient symptoms to guide diagnostic testing.</w:t>
      </w:r>
    </w:p>
    <w:bookmarkEnd w:id="20"/>
    <w:bookmarkStart w:id="21" w:name="patient-presentation-and-history"/>
    <w:p>
      <w:pPr>
        <w:pStyle w:val="Heading2"/>
      </w:pPr>
      <w:r>
        <w:t xml:space="preserve">2. Patient Presentation and History</w:t>
      </w:r>
    </w:p>
    <w:p>
      <w:pPr>
        <w:pStyle w:val="FirstParagraph"/>
      </w:pPr>
      <w:r>
        <w:rPr>
          <w:bCs/>
          <w:b/>
        </w:rPr>
        <w:t xml:space="preserve">Patient Profile:</w:t>
      </w:r>
      <w:r>
        <w:t xml:space="preserve"> </w:t>
      </w:r>
      <w:r>
        <w:t xml:space="preserve">Male, 45 years old.</w:t>
      </w:r>
      <w:r>
        <w:br/>
      </w:r>
      <w:r>
        <w:rPr>
          <w:bCs/>
          <w:b/>
        </w:rPr>
        <w:t xml:space="preserve">Social History:</w:t>
      </w:r>
      <w:r>
        <w:t xml:space="preserve"> </w:t>
      </w:r>
      <w:r>
        <w:t xml:space="preserve">Resident of the Sidi Gaber district; works in logistics; non-smoker but occasional alcohol consumption at social events.</w:t>
      </w:r>
      <w:r>
        <w:br/>
      </w:r>
      <w:r>
        <w:t xml:space="preserve">The patient resides in a dense urban area of Alexandria, where pollution levels and humidity can exacerbate respiratory conditions.</w:t>
      </w:r>
    </w:p>
    <w:p>
      <w:pPr>
        <w:pStyle w:val="BodyText"/>
      </w:pPr>
      <w:r>
        <w:rPr>
          <w:bCs/>
          <w:b/>
        </w:rPr>
        <w:t xml:space="preserve">Chief Complaint:</w:t>
      </w:r>
      <w:r>
        <w:t xml:space="preserve"> </w:t>
      </w:r>
      <w:r>
        <w:t xml:space="preserve">The patient presented with persistent fatigue, low-grade fever (37.8°C), and mild right upper quadrant abdominal pain lasting for five days. He also reported a slight yellowing of the sclera (eyes) noticed by family members two days prior.</w:t>
      </w:r>
    </w:p>
    <w:bookmarkEnd w:id="21"/>
    <w:bookmarkStart w:id="22" w:name="X3aabf21f9762d75c9166b7700a73312568b4ade"/>
    <w:p>
      <w:pPr>
        <w:pStyle w:val="Heading2"/>
      </w:pPr>
      <w:r>
        <w:t xml:space="preserve">3. Clinical Examination by General Practitioner</w:t>
      </w:r>
    </w:p>
    <w:p>
      <w:pPr>
        <w:pStyle w:val="FirstParagraph"/>
      </w:pPr>
      <w:r>
        <w:t xml:space="preserve">Upon examination, the Doctor General Practitioner conducted a thorough physical assessment:</w:t>
      </w:r>
    </w:p>
    <w:p>
      <w:pPr>
        <w:numPr>
          <w:ilvl w:val="0"/>
          <w:numId w:val="1001"/>
        </w:numPr>
        <w:pStyle w:val="Compact"/>
      </w:pPr>
      <w:r>
        <w:rPr>
          <w:bCs/>
          <w:b/>
        </w:rPr>
        <w:t xml:space="preserve">Vital Signs:</w:t>
      </w:r>
      <w:r>
        <w:t xml:space="preserve"> </w:t>
      </w:r>
      <w:r>
        <w:t xml:space="preserve">Blood pressure 130/85 mmHg, Heart Rate 92 bpm (regular), Respiratory Rate 18/min, Temperature 37.6°C.</w:t>
      </w:r>
    </w:p>
    <w:p>
      <w:pPr>
        <w:numPr>
          <w:ilvl w:val="0"/>
          <w:numId w:val="1001"/>
        </w:numPr>
        <w:pStyle w:val="Compact"/>
      </w:pPr>
      <w:r>
        <w:rPr>
          <w:bCs/>
          <w:b/>
        </w:rPr>
        <w:t xml:space="preserve">General Appearance:</w:t>
      </w:r>
      <w:r>
        <w:t xml:space="preserve"> </w:t>
      </w:r>
      <w:r>
        <w:t xml:space="preserve">Patient appeared fatigued but alert. Mild conjunctival icterus was observed.</w:t>
      </w:r>
    </w:p>
    <w:p>
      <w:pPr>
        <w:numPr>
          <w:ilvl w:val="0"/>
          <w:numId w:val="1001"/>
        </w:numPr>
        <w:pStyle w:val="Compact"/>
      </w:pPr>
      <w:r>
        <w:rPr>
          <w:bCs/>
          <w:b/>
        </w:rPr>
        <w:t xml:space="preserve">Abdominal Exam:</w:t>
      </w:r>
      <w:r>
        <w:t xml:space="preserve">Slight tenderness in the right upper quadrant (RUQ). Liver span was slightly enlarged upon palpation, approximately 14 cm at the midclavicular line. No splenomegaly was detected.</w:t>
      </w:r>
    </w:p>
    <w:p>
      <w:pPr>
        <w:numPr>
          <w:ilvl w:val="0"/>
          <w:numId w:val="1001"/>
        </w:numPr>
        <w:pStyle w:val="Compact"/>
      </w:pPr>
      <w:r>
        <w:rPr>
          <w:bCs/>
          <w:b/>
        </w:rPr>
        <w:t xml:space="preserve">Lungs/Heart:</w:t>
      </w:r>
      <w:r>
        <w:t xml:space="preserve"> </w:t>
      </w:r>
      <w:r>
        <w:t xml:space="preserve">Clear breath sounds bilaterally; regular heart rhythm with no murmurs.</w:t>
      </w:r>
    </w:p>
    <w:p>
      <w:pPr>
        <w:pStyle w:val="FirstParagraph"/>
      </w:pPr>
      <w:r>
        <w:t xml:space="preserve">Given the location in Egypt Alexandria, the physician considered differential diagnoses including viral hepatitis (A, B, or E), leptospirosis (due to potential exposure to contaminated water during recent heavy rains common in Alexandria winters), and gallbladder pathology.</w:t>
      </w:r>
    </w:p>
    <w:bookmarkEnd w:id="22"/>
    <w:bookmarkStart w:id="23" w:name="laboratory-investigation-protocols"/>
    <w:p>
      <w:pPr>
        <w:pStyle w:val="Heading2"/>
      </w:pPr>
      <w:r>
        <w:t xml:space="preserve">4. Laboratory Investigation Protocols</w:t>
      </w:r>
    </w:p>
    <w:p>
      <w:pPr>
        <w:pStyle w:val="FirstParagraph"/>
      </w:pPr>
      <w:r>
        <w:t xml:space="preserve">To confirm the diagnosis, the Doctor General Practitioner ordered a comprehensive panel of laboratory tests. In Alexandria, standard private clinics often utilize automated analyzers for rapid turnaround times. The following lab reports were generated:</w:t>
      </w:r>
    </w:p>
    <w:p>
      <w:pPr>
        <w:pStyle w:val="BodyText"/>
      </w:pPr>
      <w:r>
        <w:t xml:space="preserve">Test Category</w:t>
      </w:r>
    </w:p>
    <w:p>
      <w:pPr>
        <w:pStyle w:val="BodyText"/>
      </w:pPr>
      <w:r>
        <w:t xml:space="preserve">Specific Test</w:t>
      </w:r>
    </w:p>
    <w:p>
      <w:pPr>
        <w:pStyle w:val="BodyText"/>
      </w:pPr>
      <w:r>
        <w:t xml:space="preserve">Patient Result</w:t>
      </w:r>
    </w:p>
    <w:p>
      <w:pPr>
        <w:pStyle w:val="BodyText"/>
      </w:pPr>
      <w:r>
        <w:rPr>
          <w:bCs/>
          <w:b/>
        </w:rPr>
        <w:t xml:space="preserve">HIGH</w:t>
      </w:r>
    </w:p>
    <w:p>
      <w:pPr>
        <w:pStyle w:val="BodyText"/>
      </w:pPr>
      <w:r>
        <w:t xml:space="preserve">&lt; 0.5 UI/mL (Negative)</w:t>
      </w:r>
    </w:p>
    <w:p>
      <w:pPr>
        <w:pStyle w:val="BodyText"/>
      </w:pPr>
      <w:r>
        <w:t xml:space="preserve">Blood Count</w:t>
      </w:r>
    </w:p>
    <w:p>
      <w:pPr>
        <w:pStyle w:val="BodyText"/>
      </w:pPr>
      <w:r>
        <w:t xml:space="preserve">Complete Blood Count (CBC)</w:t>
      </w:r>
    </w:p>
    <w:p>
      <w:pPr>
        <w:pStyle w:val="BodyText"/>
      </w:pPr>
      <w:r>
        <w:t xml:space="preserve">WBC: 11,500/mm³</w:t>
      </w:r>
    </w:p>
    <w:p>
      <w:pPr>
        <w:pStyle w:val="BodyText"/>
      </w:pPr>
      <w:r>
        <w:t xml:space="preserve">High</w:t>
      </w:r>
    </w:p>
    <w:p>
      <w:pPr>
        <w:pStyle w:val="BodyText"/>
      </w:pPr>
      <w:r>
        <w:t xml:space="preserve">Hemoglobin/Hematocrit</w:t>
      </w:r>
    </w:p>
    <w:p>
      <w:pPr>
        <w:pStyle w:val="BodyText"/>
      </w:pPr>
      <w:r>
        <w:t xml:space="preserve">Liver Function Tests (LFTs)</w:t>
      </w:r>
    </w:p>
    <w:p>
      <w:pPr>
        <w:pStyle w:val="BodyText"/>
      </w:pPr>
      <w:r>
        <w:t xml:space="preserve">Total Bilirubin: 2.8 mg/dLDirect Bilirubin: 1.5 mg/dLAST (SGOT): 120 U/LALT (SGPT): 135 U/LAlkaline Phosphatase: Normal</w:t>
      </w:r>
    </w:p>
    <w:p>
      <w:pPr>
        <w:pStyle w:val="BodyText"/>
      </w:pPr>
      <w:r>
        <w:t xml:space="preserve">High</w:t>
      </w:r>
    </w:p>
    <w:p>
      <w:pPr>
        <w:pStyle w:val="BodyText"/>
      </w:pPr>
      <w:r>
        <w:t xml:space="preserve">Hepatitis Serology</w:t>
      </w:r>
    </w:p>
    <w:p>
      <w:pPr>
        <w:pStyle w:val="BodyText"/>
      </w:pPr>
      <w:r>
        <w:t xml:space="preserve">Hepatitis A IgM</w:t>
      </w:r>
      <w:r>
        <w:br/>
      </w:r>
      <w:r>
        <w:t xml:space="preserve">Hepatitis B Surface Antigen (HBsAg)</w:t>
      </w:r>
      <w:r>
        <w:br/>
      </w:r>
      <w:r>
        <w:t xml:space="preserve">Hepatitis C Antibody</w:t>
      </w:r>
    </w:p>
    <w:p>
      <w:pPr>
        <w:pStyle w:val="BodyText"/>
      </w:pPr>
      <w:r>
        <w:t xml:space="preserve">HAV-IgM: Positive</w:t>
      </w:r>
      <w:r>
        <w:br/>
      </w:r>
      <w:r>
        <w:t xml:space="preserve">HBsAg: Negative</w:t>
      </w:r>
      <w:r>
        <w:br/>
      </w:r>
      <w:r>
        <w:t xml:space="preserve">Anti-HCV: Negative</w:t>
      </w:r>
      <w:r>
        <w:rPr>
          <w:bCs/>
          <w:b/>
        </w:rPr>
        <w:t xml:space="preserve">POSITIVE</w:t>
      </w:r>
      <w:r>
        <w:t xml:space="preserve"> </w:t>
      </w:r>
    </w:p>
    <w:bookmarkEnd w:id="23"/>
    <w:bookmarkStart w:id="24" w:name="analysis-of-findings"/>
    <w:p>
      <w:pPr>
        <w:pStyle w:val="Heading2"/>
      </w:pPr>
      <w:r>
        <w:t xml:space="preserve">5. Analysis of Findings</w:t>
      </w:r>
    </w:p>
    <w:p>
      <w:pPr>
        <w:pStyle w:val="FirstParagraph"/>
      </w:pPr>
      <w:r>
        <w:t xml:space="preserve">The laboratory results indicate an acute hepatocellular injury pattern. The elevated AST and ALT levels suggest liver inflammation, while the elevated bilirubin confirms jaundice. The serology results are definitive: the positive Hepatitis A IgM antibody confirms an acute infection with Hepatitis A virus (HAV). The negative results for Hepatitis B and C rule out chronic viral hepatitis, which is crucial for determining the prognosis.</w:t>
      </w:r>
    </w:p>
    <w:p>
      <w:pPr>
        <w:pStyle w:val="BodyText"/>
      </w:pPr>
      <w:r>
        <w:t xml:space="preserve">Hepatitis A is endemic in many parts of Egypt, including Alexandria. Transmission is typically fecal-oral, often associated with contaminated water or food. In Alexandria's bustling markets and coastal areas where seafood consumption is high but hygiene standards may vary in informal settings, the risk of exposure remains significant.</w:t>
      </w:r>
    </w:p>
    <w:bookmarkEnd w:id="24"/>
    <w:bookmarkStart w:id="25" w:name="diagnosis"/>
    <w:p>
      <w:pPr>
        <w:pStyle w:val="Heading2"/>
      </w:pPr>
      <w:r>
        <w:t xml:space="preserve">6. Diagnosis</w:t>
      </w:r>
    </w:p>
    <w:p>
      <w:pPr>
        <w:pStyle w:val="FirstParagraph"/>
      </w:pPr>
      <w:r>
        <w:rPr>
          <w:bCs/>
          <w:b/>
        </w:rPr>
        <w:t xml:space="preserve">Primary Diagnosis:</w:t>
      </w:r>
      <w:r>
        <w:t xml:space="preserve"> </w:t>
      </w:r>
      <w:r>
        <w:t xml:space="preserve">Acute Hepatitis A.</w:t>
      </w:r>
      <w:r>
        <w:br/>
      </w:r>
      <w:r>
        <w:rPr>
          <w:bCs/>
          <w:b/>
        </w:rPr>
        <w:t xml:space="preserve">Differential Considerations Ruled Out:</w:t>
      </w:r>
      <w:r>
        <w:br/>
      </w:r>
      <w:r>
        <w:t xml:space="preserve">- Viral Hepatitis B and C (Seronegative).</w:t>
      </w:r>
      <w:r>
        <w:br/>
      </w:r>
      <w:r>
        <w:t xml:space="preserve">- Leptospirosis (Unlikely given lack of specific exposure history and positive HAV marker).</w:t>
      </w:r>
      <w:r>
        <w:br/>
      </w:r>
      <w:r>
        <w:t xml:space="preserve">- Cholecystitis (Ultrasound would typically show gallstones, but the serology points strongly to viral etiology).</w:t>
      </w:r>
    </w:p>
    <w:bookmarkEnd w:id="25"/>
    <w:bookmarkStart w:id="26" w:name="management-and-treatment-plan"/>
    <w:p>
      <w:pPr>
        <w:pStyle w:val="Heading2"/>
      </w:pPr>
      <w:r>
        <w:t xml:space="preserve">7. Management and Treatment Plan</w:t>
      </w:r>
    </w:p>
    <w:p>
      <w:pPr>
        <w:pStyle w:val="FirstParagraph"/>
      </w:pPr>
      <w:r>
        <w:t xml:space="preserve">The Doctor General Practitioner in Alexandria prescribed a conservative management approach, as Hepatitis A is self-limiting. The treatment plan included:</w:t>
      </w:r>
    </w:p>
    <w:p>
      <w:pPr>
        <w:numPr>
          <w:ilvl w:val="0"/>
          <w:numId w:val="1002"/>
        </w:numPr>
        <w:pStyle w:val="Compact"/>
      </w:pPr>
      <w:r>
        <w:rPr>
          <w:bCs/>
          <w:b/>
        </w:rPr>
        <w:t xml:space="preserve">Symptomatic Care:</w:t>
      </w:r>
      <w:r>
        <w:t xml:space="preserve"> </w:t>
      </w:r>
      <w:r>
        <w:t xml:space="preserve">Paracetamol (Acetaminophen) for fever and pain, strictly limited to 2g/day to avoid further liver stress.</w:t>
      </w:r>
    </w:p>
    <w:p>
      <w:pPr>
        <w:numPr>
          <w:ilvl w:val="0"/>
          <w:numId w:val="1002"/>
        </w:numPr>
        <w:pStyle w:val="Compact"/>
      </w:pPr>
      <w:r>
        <w:rPr>
          <w:bCs/>
          <w:b/>
        </w:rPr>
        <w:t xml:space="preserve">Dietary Modifications:</w:t>
      </w:r>
      <w:r>
        <w:t xml:space="preserve"> </w:t>
      </w:r>
      <w:r>
        <w:t xml:space="preserve">A low-fat, high-carbohydrate diet. The patient was advised to avoid alcohol completely during the recovery period, which typically lasts 2-4 weeks.</w:t>
      </w:r>
      <w:r>
        <w:br/>
      </w:r>
      <w:r>
        <w:t xml:space="preserve">Local dietary advice in Egypt often includes encouraging hydration with safe, bottled water or boiled teas (like mint or chamomile), as tap water safety can be variable.</w:t>
      </w:r>
    </w:p>
    <w:p>
      <w:pPr>
        <w:numPr>
          <w:ilvl w:val="0"/>
          <w:numId w:val="1002"/>
        </w:numPr>
        <w:pStyle w:val="Compact"/>
      </w:pPr>
      <w:r>
        <w:rPr>
          <w:bCs/>
          <w:b/>
        </w:rPr>
        <w:t xml:space="preserve">Rest:</w:t>
      </w:r>
      <w:r>
        <w:t xml:space="preserve"> </w:t>
      </w:r>
      <w:r>
        <w:t xml:space="preserve">Strict physical rest is recommended to reduce metabolic demand on the liver.</w:t>
      </w:r>
      <w:r>
        <w:br/>
      </w:r>
    </w:p>
    <w:p>
      <w:pPr>
        <w:numPr>
          <w:ilvl w:val="0"/>
          <w:numId w:val="1002"/>
        </w:numPr>
        <w:pStyle w:val="Compact"/>
      </w:pPr>
      <w:r>
        <w:t xml:space="preserve">Hygiene Precautions:Absolute isolation of personal hygiene items (towels, razors). Strict handwashing with soap after using the toilet to prevent family transmission.</w:t>
      </w:r>
    </w:p>
    <w:bookmarkEnd w:id="26"/>
    <w:bookmarkStart w:id="27" w:name="Xa1dde6ab5b2cc4fd5fec353fc7833d0891c65bd"/>
    <w:p>
      <w:pPr>
        <w:pStyle w:val="Heading2"/>
      </w:pPr>
      <w:r>
        <w:t xml:space="preserve">8. Follow-Up and Public Health Implications in Egypt Alexandria</w:t>
      </w:r>
    </w:p>
    <w:p>
      <w:pPr>
        <w:pStyle w:val="FirstParagraph"/>
      </w:pPr>
      <w:r>
        <w:t xml:space="preserve">The patient is scheduled for a follow-up appointment in two weeks to monitor LFTs. If bilirubin and transaminases do not show a downward trend, referral to a gastroenterologist at one of Alexandria’s tertiary care hospitals (such as Alexandria University Hospital) would be warranted.</w:t>
      </w:r>
    </w:p>
    <w:p>
      <w:pPr>
        <w:pStyle w:val="BodyText"/>
      </w:pPr>
      <w:r>
        <w:t xml:space="preserve">From a public health perspective, this case highlights the importance of vaccination programs in Egypt. While Hepatitis A vaccine is available in private clinics in Alexandria, it is not yet part of the universal national childhood immunization schedule across all governorates. Educating patients about the risks associated with street food and untreated water sources remains a key role for Doctors General Practitioner working in urban centers like Alexandria.</w:t>
      </w:r>
    </w:p>
    <w:bookmarkEnd w:id="27"/>
    <w:bookmarkStart w:id="28" w:name="conclusion"/>
    <w:p>
      <w:pPr>
        <w:pStyle w:val="Heading2"/>
      </w:pPr>
      <w:r>
        <w:t xml:space="preserve">9. Conclusion</w:t>
      </w:r>
    </w:p>
    <w:p>
      <w:pPr>
        <w:pStyle w:val="FirstParagraph"/>
      </w:pPr>
      <w:r>
        <w:t xml:space="preserve">This Lab Report underscores the critical diagnostic role of the Doctor General Practitioner in identifying common yet serious infectious diseases within the specific environmental context of Egypt Alexandria. The integration of clinical history, physical examination, and targeted laboratory testing allowed for an accurate diagnosis of Acute Hepatitis A. The report also serves as a reminder that local environmental factors—such as humidity, population density, and food safety standards—directly influence disease prevalence and must be considered in every patient assessment.</w:t>
      </w:r>
    </w:p>
    <w:p>
      <w:pPr>
        <w:pStyle w:val="BodyText"/>
      </w:pPr>
      <w:r>
        <w:rPr>
          <w:bCs/>
          <w:b/>
        </w:rPr>
        <w:t xml:space="preserve">Signed,</w:t>
      </w:r>
      <w:r>
        <w:br/>
      </w:r>
      <w:r>
        <w:t xml:space="preserve">Dr. Ahmed El-Sayed</w:t>
      </w:r>
      <w:r>
        <w:br/>
      </w:r>
      <w:r>
        <w:t xml:space="preserve">General Practitioner</w:t>
      </w:r>
      <w:r>
        <w:br/>
      </w:r>
      <w:r>
        <w:t xml:space="preserve">Alexandria, Egypt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Report: General Practitioner Assessment in Alexandria, Egypt</dc:title>
  <dc:creator/>
  <dc:language>en</dc:language>
  <cp:keywords/>
  <dcterms:created xsi:type="dcterms:W3CDTF">2026-07-29T16:05:40Z</dcterms:created>
  <dcterms:modified xsi:type="dcterms:W3CDTF">2026-07-29T16:05:40Z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