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Assessment</w:t>
      </w:r>
      <w:r>
        <w:t xml:space="preserve"> </w:t>
      </w:r>
      <w:r>
        <w:t xml:space="preserve">Report:</w:t>
      </w:r>
      <w:r>
        <w:t xml:space="preserve"> </w:t>
      </w:r>
      <w:r>
        <w:t xml:space="preserve">General</w:t>
      </w:r>
      <w:r>
        <w:t xml:space="preserve"> </w:t>
      </w:r>
      <w:r>
        <w:t xml:space="preserve">Practitioner</w:t>
      </w:r>
      <w:r>
        <w:t xml:space="preserve"> </w:t>
      </w:r>
      <w:r>
        <w:t xml:space="preserve">Evaluation</w:t>
      </w:r>
      <w:r>
        <w:t xml:space="preserve"> </w:t>
      </w:r>
      <w:r>
        <w:t xml:space="preserve">in</w:t>
      </w:r>
      <w:r>
        <w:t xml:space="preserve"> </w:t>
      </w:r>
      <w:r>
        <w:t xml:space="preserve">Tehran</w:t>
      </w:r>
      <w:r>
        <w:t xml:space="preserve"> </w:t>
      </w:r>
      <w:r>
        <w:t xml:space="preserve">Context</w:t>
      </w:r>
    </w:p>
    <w:bookmarkStart w:id="20" w:name="Xe25650de20960187c6206851bede22d1f760484"/>
    <w:p>
      <w:pPr>
        <w:pStyle w:val="Heading1"/>
      </w:pPr>
      <w:r>
        <w:t xml:space="preserve">Laboratory and Clinical Assessment Report</w:t>
      </w:r>
    </w:p>
    <w:p>
      <w:pPr>
        <w:pStyle w:val="FirstParagraph"/>
      </w:pPr>
      <w:r>
        <w:rPr>
          <w:bCs/>
          <w:b/>
        </w:rPr>
        <w:t xml:space="preserve">Patient ID:</w:t>
      </w:r>
      <w:r>
        <w:t xml:space="preserve"> </w:t>
      </w:r>
      <w:r>
        <w:t xml:space="preserve">IR-TEH-2023-X99</w:t>
      </w:r>
      <w:r>
        <w:br/>
      </w:r>
      <w:r>
        <w:rPr>
          <w:bCs/>
          <w:b/>
        </w:rPr>
        <w:t xml:space="preserve">Date of Service:</w:t>
      </w:r>
      <w:r>
        <w:t xml:space="preserve"> </w:t>
      </w:r>
      <w:r>
        <w:t xml:space="preserve">October 24, 2023</w:t>
      </w:r>
      <w:r>
        <w:br/>
      </w:r>
      <w:r>
        <w:rPr>
          <w:bCs/>
          <w:b/>
        </w:rPr>
        <w:t xml:space="preserve">Location:</w:t>
      </w:r>
      <w:r>
        <w:t xml:space="preserve"> </w:t>
      </w:r>
      <w:r>
        <w:t xml:space="preserve">Primary Care Clinic, Central Tehran Province</w:t>
      </w:r>
      <w:r>
        <w:br/>
      </w:r>
      <w:r>
        <w:rPr>
          <w:bCs/>
          <w:b/>
        </w:rPr>
        <w:t xml:space="preserve">Referring Physician:</w:t>
      </w:r>
      <w:r>
        <w:t xml:space="preserve"> </w:t>
      </w:r>
      <w:r>
        <w:t xml:space="preserve">Senior General Practitioner (GP)</w:t>
      </w:r>
      <w:r>
        <w:br/>
      </w:r>
      <w:r>
        <w:rPr>
          <w:bCs/>
          <w:b/>
        </w:rPr>
        <w:t xml:space="preserve">Laboratory Facility:</w:t>
      </w:r>
      <w:r>
        <w:t xml:space="preserve">Tehran Central Diagnostic Laboratory</w:t>
      </w:r>
    </w:p>
    <w:bookmarkEnd w:id="20"/>
    <w:bookmarkStart w:id="21" w:name="X082ac02ad5ad56160beab7bb005587a25e2768a"/>
    <w:p>
      <w:pPr>
        <w:pStyle w:val="Heading2"/>
      </w:pPr>
      <w:r>
        <w:rPr>
          <w:iCs/>
          <w:i/>
        </w:rPr>
        <w:t xml:space="preserve">I. Executive Summary and Introduction to the Tehran Healthcare Context</w:t>
      </w:r>
    </w:p>
    <w:p>
      <w:pPr>
        <w:pStyle w:val="FirstParagraph"/>
      </w:pPr>
      <w:r>
        <w:t xml:space="preserve">This document serves as a comprehensive Lab Report detailing the clinical findings, diagnostic evaluations, and subsequent medical recommendations for a patient under the care of a Doctor General Practitioner within the metropolitan area of Iran Tehran. The healthcare landscape in Iran Tehran is characterized by a dense network of primary care centers and specialized hospitals, necessitating precise coordination between general practitioners and diagnostic laboratories. This report highlights the critical role of the General Practitioner as the first point of contact, ensuring that laboratory results are interpreted within the specific epidemiological context prevalent in Iran Tehran. The integration of traditional diagnostic methods with advanced modern laboratory techniques is emphasized to ensure accurate diagnosis and effective treatment planning for residents navigating health challenges in this major Iranian hub.</w:t>
      </w:r>
    </w:p>
    <w:bookmarkEnd w:id="21"/>
    <w:bookmarkStart w:id="22" w:name="X22392fea353cb8384841ccaa8441492d04ea917"/>
    <w:p>
      <w:pPr>
        <w:pStyle w:val="Heading2"/>
      </w:pPr>
      <w:r>
        <w:rPr>
          <w:iCs/>
          <w:i/>
        </w:rPr>
        <w:t xml:space="preserve">II. Patient History and Clinical Presentation</w:t>
      </w:r>
    </w:p>
    <w:p>
      <w:pPr>
        <w:pStyle w:val="FirstParagraph"/>
      </w:pPr>
      <w:r>
        <w:t xml:space="preserve">The patient, a 45-year-old male resident of District 12 in Iran Tehran, presented with symptoms including persistent fatigue, mild fever, and generalized joint pain. As the designated Doctor General Practitioner managing his case in the local clinic of Iran Tehran, initial triage revealed no acute distress but indicated potential systemic involvement. Given the seasonal variations typical of the region and recent reports of viral circulation in urban centers across Iran Tehran, a broad-spectrum diagnostic panel was ordered by the Doctor General Practitioner to rule out common endemic conditions. The patient’s medical history includes controlled hypertension and a family history of metabolic syndrome, factors that are frequently monitored by healthcare providers in Iran Tehran due to prevailing lifestyle patterns.</w:t>
      </w:r>
    </w:p>
    <w:bookmarkEnd w:id="22"/>
    <w:bookmarkStart w:id="23" w:name="X6a30b5d15c9b0c3ad5f0d4d700966bf8ed8a9a0"/>
    <w:p>
      <w:pPr>
        <w:pStyle w:val="Heading2"/>
      </w:pPr>
      <w:r>
        <w:rPr>
          <w:iCs/>
          <w:i/>
        </w:rPr>
        <w:t xml:space="preserve">III. Laboratory Methodology and Procedures</w:t>
      </w:r>
    </w:p>
    <w:p>
      <w:pPr>
        <w:pStyle w:val="FirstParagraph"/>
      </w:pPr>
      <w:r>
        <w:t xml:space="preserve">The laboratory analysis was conducted at the Tehran Central Diagnostic Laboratory, adhering strictly to international standards while complying with local regulations set forth by the Ministry of Health and Medical Education in Iran Tehran. Blood samples were collected via venipuncture under sterile conditions. The following panels were executed:</w:t>
      </w:r>
    </w:p>
    <w:p>
      <w:pPr>
        <w:numPr>
          <w:ilvl w:val="0"/>
          <w:numId w:val="1001"/>
        </w:numPr>
        <w:pStyle w:val="Compact"/>
      </w:pPr>
      <w:r>
        <w:rPr>
          <w:bCs/>
          <w:b/>
        </w:rPr>
        <w:t xml:space="preserve">Complete Blood Count (CBC):</w:t>
      </w:r>
      <w:r>
        <w:t xml:space="preserve"> </w:t>
      </w:r>
      <w:r>
        <w:t xml:space="preserve">Utilizing automated hematology analyzers common in major facilities across Iran Tehran to assess white blood cell differential, red blood cell indices, and platelet counts.</w:t>
      </w:r>
    </w:p>
    <w:p>
      <w:pPr>
        <w:numPr>
          <w:ilvl w:val="0"/>
          <w:numId w:val="1001"/>
        </w:numPr>
        <w:pStyle w:val="Compact"/>
      </w:pPr>
      <w:r>
        <w:rPr>
          <w:bCs/>
          <w:b/>
        </w:rPr>
        <w:t xml:space="preserve">Biochemical Profile:</w:t>
      </w:r>
      <w:r>
        <w:t xml:space="preserve"> </w:t>
      </w:r>
      <w:r>
        <w:t xml:space="preserve">Comprehensive metabolic panel including glucose, liver function tests (ALT/AST), renal function markers (Creatinine/Urea), and lipid profile. This is particularly relevant in Iran Tehran where lifestyle-related metabolic disorders are prevalent.</w:t>
      </w:r>
    </w:p>
    <w:p>
      <w:pPr>
        <w:numPr>
          <w:ilvl w:val="0"/>
          <w:numId w:val="1001"/>
        </w:numPr>
        <w:pStyle w:val="Compact"/>
      </w:pPr>
      <w:r>
        <w:rPr>
          <w:bCs/>
          <w:b/>
        </w:rPr>
        <w:t xml:space="preserve">Inflammatory Markers:</w:t>
      </w:r>
      <w:r>
        <w:t xml:space="preserve"> </w:t>
      </w:r>
      <w:r>
        <w:t xml:space="preserve">Erythrocyte Sedimentation Rate (ESR) and C-Reactive Protein (CRP) levels were measured to evaluate potential inflammatory or infectious processes, a standard protocol for any case referred by a Doctor General Practitioner in Iran Tehran presenting with unexplained fever.</w:t>
      </w:r>
    </w:p>
    <w:p>
      <w:pPr>
        <w:numPr>
          <w:ilvl w:val="0"/>
          <w:numId w:val="1001"/>
        </w:numPr>
        <w:pStyle w:val="Compact"/>
      </w:pPr>
      <w:r>
        <w:rPr>
          <w:bCs/>
          <w:b/>
        </w:rPr>
        <w:t xml:space="preserve">Serological Screening:</w:t>
      </w:r>
      <w:r>
        <w:t xml:space="preserve"> </w:t>
      </w:r>
      <w:r>
        <w:t xml:space="preserve">Specific tests for common viral pathogens prevalent in the Middle Eastern region were included, ensuring that local epidemiological trends specific to Iran Tehran were addressed.</w:t>
      </w:r>
    </w:p>
    <w:bookmarkEnd w:id="23"/>
    <w:bookmarkStart w:id="24" w:name="X999070b5127d2068ece0d823f02c76ee2be1080"/>
    <w:p>
      <w:pPr>
        <w:pStyle w:val="Heading2"/>
      </w:pPr>
      <w:r>
        <w:rPr>
          <w:iCs/>
          <w:i/>
        </w:rPr>
        <w:t xml:space="preserve">IV. Diagnostic Findings and Laboratory Results</w:t>
      </w:r>
    </w:p>
    <w:p>
      <w:pPr>
        <w:pStyle w:val="FirstParagraph"/>
      </w:pPr>
      <w:r>
        <w:t xml:space="preserve">The following table summarizes the key findings from the laboratory analysis performed by the lab team under the supervision of the attending Doctor General Practitioner. These results are critical for clinical decision-making within the healthcare system of Iran Tehran.</w:t>
      </w:r>
    </w:p>
    <w:p>
      <w:pPr>
        <w:pStyle w:val="BodyText"/>
      </w:pPr>
      <w:r>
        <w:rPr>
          <w:bCs/>
          <w:b/>
        </w:rPr>
        <w:t xml:space="preserve">Test Parameter</w:t>
      </w:r>
    </w:p>
    <w:bookmarkEnd w:id="24"/>
    <w:p>
      <w:pPr>
        <w:pStyle w:val="BodyText"/>
      </w:pPr>
      <w:r>
        <w:rPr>
          <w:bCs/>
          <w:b/>
        </w:rPr>
        <w:t xml:space="preserve">Patient Result</w:t>
      </w:r>
    </w:p>
    <w:p>
      <w:pPr>
        <w:pStyle w:val="BodyText"/>
      </w:pPr>
      <w:r>
        <w:rPr>
          <w:bCs/>
          <w:b/>
        </w:rPr>
        <w:t xml:space="preserve">Reference Range (Tehran Lab Standards)</w:t>
      </w:r>
      <w:r>
        <w:t xml:space="preserve">Note: Ranges are calibrated for the demographic profiles common in Iran Tehran.&gt;</w:t>
      </w:r>
      <w:r>
        <w:t xml:space="preserve"> </w:t>
      </w:r>
      <w:r>
        <w:t xml:space="preserve">Result Interpretation</w:t>
      </w:r>
    </w:p>
    <w:p>
      <w:pPr>
        <w:pStyle w:val="BodyText"/>
      </w:pPr>
      <w:r>
        <w:t xml:space="preserve">"</w:t>
      </w:r>
    </w:p>
    <w:p>
      <w:pPr>
        <w:pStyle w:val="BodyText"/>
      </w:pPr>
      <w:r>
        <w:t xml:space="preserve">"White Blood Cell Count (WBC)"</w:t>
      </w:r>
    </w:p>
    <w:p>
      <w:pPr>
        <w:pStyle w:val="BodyText"/>
      </w:pPr>
      <w:r>
        <w:t xml:space="preserve">14,500/mm3</w:t>
      </w:r>
    </w:p>
    <w:p>
      <w:pPr>
        <w:pStyle w:val="BodyText"/>
      </w:pPr>
      <w:r>
        <w:t xml:space="preserve">"4,500 - 11,00/mm3"</w:t>
      </w:r>
    </w:p>
    <w:p>
      <w:pPr>
        <w:pStyle w:val="BodyText"/>
      </w:pPr>
      <w:r>
        <w:t xml:space="preserve">&gt;"Elevated. Indicates acute infection or inflammation. The Doctor General Practitioner notes this correlates with symptoms reported in local clinics in Iran Tehran."</w:t>
      </w:r>
    </w:p>
    <w:p>
      <w:pPr>
        <w:pStyle w:val="BodyText"/>
      </w:pPr>
      <w:r>
        <w:t xml:space="preserve">"Neutrophil Percentage"</w:t>
      </w:r>
    </w:p>
    <w:p>
      <w:pPr>
        <w:pStyle w:val="BodyText"/>
      </w:pPr>
      <w:r>
        <w:t xml:space="preserve">"78%"</w:t>
      </w:r>
    </w:p>
    <w:p>
      <w:pPr>
        <w:pStyle w:val="BodyText"/>
      </w:pPr>
      <w:r>
        <w:t xml:space="preserve">&gt;"50 - 70%"</w:t>
      </w:r>
      <w:r>
        <w:br/>
      </w:r>
      <w:r>
        <w:t xml:space="preserve">"High neutrophilia suggests bacterial etiology, a consideration for the Doctor General Practitioner in Iran Tehran."</w:t>
      </w:r>
    </w:p>
    <w:p>
      <w:pPr>
        <w:pStyle w:val="BodyText"/>
      </w:pPr>
      <w:r>
        <w:t xml:space="preserve">"</w:t>
      </w:r>
    </w:p>
    <w:p>
      <w:pPr>
        <w:pStyle w:val="BodyText"/>
      </w:pPr>
      <w:r>
        <w:t xml:space="preserve">"45 mg/L"</w:t>
      </w:r>
    </w:p>
    <w:p>
      <w:pPr>
        <w:pStyle w:val="BodyText"/>
      </w:pPr>
      <w:r>
        <w:t xml:space="preserve">&gt;"&lt;0.8 mg/L"</w:t>
      </w:r>
    </w:p>
    <w:p>
      <w:pPr>
        <w:pStyle w:val="BodyText"/>
      </w:pPr>
      <w:r>
        <w:t xml:space="preserve">&gt;"Significantly Elevated. Confirms active inflammatory response."</w:t>
      </w:r>
    </w:p>
    <w:p>
      <w:pPr>
        <w:pStyle w:val="BodyText"/>
      </w:pPr>
      <w:r>
        <w:t xml:space="preserve">"Fasting Blood Sugar (FBS)"</w:t>
      </w:r>
    </w:p>
    <w:p>
      <w:pPr>
        <w:pStyle w:val="BodyText"/>
      </w:pPr>
      <w:r>
        <w:t xml:space="preserve">"105 mg/dL"</w:t>
      </w:r>
    </w:p>
    <w:p>
      <w:pPr>
        <w:pStyle w:val="BodyText"/>
      </w:pPr>
      <w:r>
        <w:t xml:space="preserve">&gt;"&lt;70 - 99 mg/dL"</w:t>
      </w:r>
    </w:p>
    <w:p>
      <w:pPr>
        <w:pStyle w:val="BodyText"/>
      </w:pPr>
      <w:r>
        <w:t xml:space="preserve">&gt;"Borderline High. Consistent with pre-diabetic trends observed in urban populations of Iran Tehran."</w:t>
      </w:r>
    </w:p>
    <w:p>
      <w:pPr>
        <w:pStyle w:val="BodyText"/>
      </w:pPr>
      <w:r>
        <w:t xml:space="preserve">"Hepatic Enzyme ALT"</w:t>
      </w:r>
    </w:p>
    <w:p>
      <w:pPr>
        <w:pStyle w:val="BodyText"/>
      </w:pPr>
      <w:r>
        <w:t xml:space="preserve">"22 U/L"</w:t>
      </w:r>
    </w:p>
    <w:p>
      <w:pPr>
        <w:pStyle w:val="BodyText"/>
      </w:pPr>
      <w:r>
        <w:t xml:space="preserve">&gt;"&lt;7 - 56 U/L"</w:t>
      </w:r>
    </w:p>
    <w:p>
      <w:pPr>
        <w:pStyle w:val="BodyText"/>
      </w:pPr>
      <w:r>
        <w:t xml:space="preserve">&gt;"Normal. Rules out acute hepatic pathology."</w:t>
      </w:r>
    </w:p>
    <w:bookmarkStart w:id="25" w:name="v.-analysis-and-clinical-correlation"/>
    <w:p>
      <w:pPr>
        <w:pStyle w:val="Heading2"/>
      </w:pPr>
      <w:r>
        <w:rPr>
          <w:iCs/>
          <w:i/>
        </w:rPr>
        <w:t xml:space="preserve">V. Analysis and Clinical Correlation</w:t>
      </w:r>
    </w:p>
    <w:p>
      <w:pPr>
        <w:pStyle w:val="FirstParagraph"/>
      </w:pPr>
      <w:r>
        <w:t xml:space="preserve">The laboratory results indicate a significant bacterial infection, likely respiratory or urinary in origin, given the high neutrophil count and elevated CRP. For a Doctor General Practitioner practicing in Iran Tehran, these findings necessitate immediate antibiotic therapy while awaiting culture sensitivity reports. The borderline elevation in fasting blood sugar is also noteworthy; it suggests that the patient requires lifestyle counseling regarding diet and exercise, a proactive approach often advocated by primary care physicians in Iran Tehran to mitigate the rising burden of non-communicable diseases. Furthermore, the Doctor General Practitioner must consider local resistance patterns prevalent in Iran Tehran when prescribing antibiotics to ensure efficacy and prevent antimicrobial resistance. The integration of these laboratory insights with clinical examination allows for a holistic assessment that respects both modern medical standards and regional health dynamics.</w:t>
      </w:r>
    </w:p>
    <w:bookmarkEnd w:id="25"/>
    <w:bookmarkStart w:id="26" w:name="vi.-recommendations-and-follow-up-plan"/>
    <w:p>
      <w:pPr>
        <w:pStyle w:val="Heading2"/>
      </w:pPr>
      <w:r>
        <w:rPr>
          <w:iCs/>
          <w:i/>
        </w:rPr>
        <w:t xml:space="preserve">VI. Recommendations and Follow-up Plan</w:t>
      </w:r>
    </w:p>
    <w:p>
      <w:pPr>
        <w:pStyle w:val="FirstParagraph"/>
      </w:pPr>
      <w:r>
        <w:t xml:space="preserve">Based on the comprehensive evaluation by the Doctor General Practitioner, the following plan is recommended for a patient in Iran Tehran:</w:t>
      </w:r>
    </w:p>
    <w:p>
      <w:pPr>
        <w:numPr>
          <w:ilvl w:val="0"/>
          <w:numId w:val="1002"/>
        </w:numPr>
        <w:pStyle w:val="Compact"/>
      </w:pPr>
      <w:r>
        <w:t xml:space="preserve">"Immediate Antimicrobial Therapy:</w:t>
      </w:r>
    </w:p>
    <w:p>
      <w:pPr>
        <w:numPr>
          <w:ilvl w:val="0"/>
          <w:numId w:val="1002"/>
        </w:numPr>
        <w:pStyle w:val="Compact"/>
      </w:pPr>
      <w:r>
        <w:rPr>
          <w:bCs/>
          <w:b/>
        </w:rPr>
        <w:t xml:space="preserve">Lifestyle Modification:</w:t>
      </w:r>
    </w:p>
    <w:p>
      <w:pPr>
        <w:numPr>
          <w:ilvl w:val="0"/>
          <w:numId w:val="1000"/>
        </w:numPr>
        <w:pStyle w:val="Compact"/>
      </w:pPr>
      <w:r>
        <w:t xml:space="preserve">&gt;Initiate dietary counseling focusing on reduced sugar and saturated fat intake, addressing the pre-diabetic markers observed. This is a key preventive measure promoted by health authorities in Iran Tehran.</w:t>
      </w:r>
    </w:p>
    <w:p>
      <w:pPr>
        <w:numPr>
          <w:ilvl w:val="0"/>
          <w:numId w:val="1002"/>
        </w:numPr>
        <w:pStyle w:val="Compact"/>
      </w:pPr>
      <w:r>
        <w:rPr>
          <w:bCs/>
          <w:b/>
        </w:rPr>
        <w:t xml:space="preserve">Social Support System:</w:t>
      </w:r>
      <w:r>
        <w:t xml:space="preserve">"As a Doctor General Practitioner in Iran Tehran, we must also consider the patient's social context. Provide resources for home care if symptoms worsen, ensuring continuity of care within the community health framework of Iran Tehran.</w:t>
      </w:r>
    </w:p>
    <w:p>
      <w:pPr>
        <w:numPr>
          <w:ilvl w:val="0"/>
          <w:numId w:val="1002"/>
        </w:numPr>
        <w:pStyle w:val="Compact"/>
      </w:pPr>
      <w:r>
        <w:rPr>
          <w:bCs/>
          <w:b/>
        </w:rPr>
        <w:t xml:space="preserve">Follow-up Appointment:</w:t>
      </w:r>
      <w:r>
        <w:t xml:space="preserve">"Schedule a re-evaluation in 7 days to monitor response to treatment and reassess inflammatory markers. This follow-up is crucial for maintaining quality standards in the Iranian healthcare system, particularly for patients navigating care in Iran Tehran.</w:t>
      </w:r>
    </w:p>
    <w:p>
      <w:pPr>
        <w:pStyle w:val="FirstParagraph"/>
      </w:pPr>
      <w:r>
        <w:t xml:space="preserve">"</w:t>
      </w:r>
    </w:p>
    <w:p>
      <w:pPr>
        <w:pStyle w:val="BodyText"/>
      </w:pPr>
      <w:r>
        <w:t xml:space="preserve">The Doctor General Practitioner emphasizes the importance of adherence to this plan. The laboratory findings provide a clear roadmap for intervention, ensuring that patient outcomes are optimized within the robust yet complex healthcare environment of Iran Tehran."</w:t>
      </w:r>
    </w:p>
    <w:bookmarkEnd w:id="26"/>
    <w:p>
      <w:pPr>
        <w:pStyle w:val="BodyText"/>
      </w:pPr>
      <w:r>
        <w:rPr>
          <w:bCs/>
          <w:b/>
        </w:rPr>
        <w:t xml:space="preserve">Signature:</w:t>
      </w:r>
      <w:r>
        <w:br/>
      </w:r>
      <w:r>
        <w:t xml:space="preserve">Dr. [Name Redacted], Doctor General Practitioner</w:t>
      </w:r>
      <w:r>
        <w:br/>
      </w:r>
      <w:r>
        <w:t xml:space="preserve">Licensed by the Medical Council of Iran, Tehran Branch.</w:t>
      </w:r>
      <w:r>
        <w:br/>
      </w:r>
      <w:r>
        <w:rPr>
          <w:iCs/>
          <w:i/>
        </w:rPr>
        <w:t xml:space="preserve">This Lab Report is a confidential medical document intended for clinical use in Iran Tehran.</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Assessment Report: General Practitioner Evaluation in Tehran Context</dc:title>
  <dc:creator/>
  <dc:language>en</dc:language>
  <cp:keywords/>
  <dcterms:created xsi:type="dcterms:W3CDTF">2026-07-29T09:39:13Z</dcterms:created>
  <dcterms:modified xsi:type="dcterms:W3CDTF">2026-07-29T09:39:13Z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