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General</w:t>
      </w:r>
      <w:r>
        <w:t xml:space="preserve"> </w:t>
      </w:r>
      <w:r>
        <w:t xml:space="preserve">Practitioner</w:t>
      </w:r>
      <w:r>
        <w:t xml:space="preserve"> </w:t>
      </w:r>
      <w:r>
        <w:t xml:space="preserve">Medical</w:t>
      </w:r>
      <w:r>
        <w:t xml:space="preserve"> </w:t>
      </w:r>
      <w:r>
        <w:t xml:space="preserve">Standards</w:t>
      </w:r>
      <w:r>
        <w:t xml:space="preserve"> </w:t>
      </w:r>
      <w:r>
        <w:t xml:space="preserve">in</w:t>
      </w:r>
      <w:r>
        <w:t xml:space="preserve"> </w:t>
      </w:r>
      <w:r>
        <w:t xml:space="preserve">Japan</w:t>
      </w:r>
      <w:r>
        <w:t xml:space="preserve"> </w:t>
      </w:r>
      <w:r>
        <w:t xml:space="preserve">Tokyo</w:t>
      </w:r>
    </w:p>
    <w:bookmarkStart w:id="30" w:name="X44e313a23b038120074a0f6426ca52163c2d75e"/>
    <w:p>
      <w:pPr>
        <w:pStyle w:val="Heading1"/>
      </w:pPr>
      <w:r>
        <w:t xml:space="preserve">Laboratory Diagnostic Report: General Practitioner Clinical Standards and Protocols in Japan, Tokyo</w:t>
      </w:r>
    </w:p>
    <w:p>
      <w:pPr>
        <w:pStyle w:val="FirstParagraph"/>
      </w:pPr>
      <w:r>
        <w:rPr>
          <w:bCs/>
          <w:b/>
        </w:rPr>
        <w:t xml:space="preserve">Date of Issue:</w:t>
      </w:r>
      <w:r>
        <w:t xml:space="preserve"> </w:t>
      </w:r>
      <w:r>
        <w:t xml:space="preserve">May 24, 2024</w:t>
      </w:r>
      <w:r>
        <w:br/>
      </w:r>
      <w:r>
        <w:rPr>
          <w:bCs/>
          <w:b/>
        </w:rPr>
        <w:t xml:space="preserve">Jurisdictional Authority:</w:t>
      </w:r>
      <w:r>
        <w:t xml:space="preserve"> </w:t>
      </w:r>
      <w:r>
        <w:t xml:space="preserve">Metropolitan Government of Tokyo &amp; Ministry of Health, Labour and Welfare (MHLW)</w:t>
      </w:r>
      <w:r>
        <w:br/>
      </w:r>
      <w:r>
        <w:rPr>
          <w:bCs/>
          <w:b/>
        </w:rPr>
        <w:t xml:space="preserve">Clinical Setting:</w:t>
      </w:r>
      <w:r>
        <w:t xml:space="preserve"> </w:t>
      </w:r>
      <w:r>
        <w:t xml:space="preserve">General Practice / Family Medicine</w:t>
      </w:r>
    </w:p>
    <w:bookmarkStart w:id="20" w:name="i.-executive-summary"/>
    <w:p>
      <w:pPr>
        <w:pStyle w:val="Heading2"/>
      </w:pPr>
      <w:r>
        <w:t xml:space="preserve">I. Executive Summary</w:t>
      </w:r>
    </w:p>
    <w:p>
      <w:pPr>
        <w:pStyle w:val="FirstParagraph"/>
      </w:pPr>
      <w:r>
        <w:t xml:space="preserve">This comprehensive Laboratory Report evaluates the operational frameworks, diagnostic methodologies, and clinical governance structures inherent to the practice of a</w:t>
      </w:r>
      <w:r>
        <w:t xml:space="preserve"> </w:t>
      </w:r>
      <w:r>
        <w:rPr>
          <w:bCs/>
          <w:b/>
        </w:rPr>
        <w:t xml:space="preserve">Doctor General Practitioner (GP)</w:t>
      </w:r>
      <w:r>
        <w:t xml:space="preserve">. The primary focus of this investigation is situated within</w:t>
      </w:r>
      <w:r>
        <w:t xml:space="preserve"> </w:t>
      </w:r>
      <w:r>
        <w:rPr>
          <w:bCs/>
          <w:b/>
        </w:rPr>
        <w:t xml:space="preserve">Tokyo, Japan</w:t>
      </w:r>
      <w:r>
        <w:t xml:space="preserve">, representing one of the most advanced urban healthcare ecosystems globally. This document outlines how general practitioners in this specific geographic location operate as the fundamental gatekeepers and first points of contact within a highly regulated medical system.</w:t>
      </w:r>
    </w:p>
    <w:bookmarkEnd w:id="20"/>
    <w:bookmarkStart w:id="21" w:name="X8bff9e41ee31b36832f48508830a34923d0cf8c"/>
    <w:p>
      <w:pPr>
        <w:pStyle w:val="Heading2"/>
      </w:pPr>
      <w:r>
        <w:t xml:space="preserve">II. Introduction: The Role of the General Practitioner in an Urban Metropolis</w:t>
      </w:r>
    </w:p>
    <w:p>
      <w:pPr>
        <w:pStyle w:val="FirstParagraph"/>
      </w:pPr>
      <w:r>
        <w:t xml:space="preserve">In</w:t>
      </w:r>
      <w:r>
        <w:t xml:space="preserve"> </w:t>
      </w:r>
      <w:r>
        <w:rPr>
          <w:bCs/>
          <w:b/>
        </w:rPr>
        <w:t xml:space="preserve">Tokyo, Japan</w:t>
      </w:r>
      <w:r>
        <w:t xml:space="preserve">, healthcare is characterized by universal coverage, high accessibility, and stringent quality control. A</w:t>
      </w:r>
      <w:r>
        <w:t xml:space="preserve"> </w:t>
      </w:r>
      <w:r>
        <w:rPr>
          <w:bCs/>
          <w:b/>
        </w:rPr>
        <w:t xml:space="preserve">Doctor General Practitioner</w:t>
      </w:r>
      <w:r>
        <w:t xml:space="preserve">, locally referred to as a "Ika" (Family Doctor) or sometimes operating within broader clinic frameworks alongside internal medicine specialists ("Naika"), serves as the cornerstone of primary care. Unlike systems where patients are required to see specialists directly through complex referral networks,</w:t>
      </w:r>
      <w:r>
        <w:t xml:space="preserve"> </w:t>
      </w:r>
      <w:r>
        <w:rPr>
          <w:bCs/>
          <w:b/>
        </w:rPr>
        <w:t xml:space="preserve">Tokyo's</w:t>
      </w:r>
      <w:r>
        <w:t xml:space="preserve"> </w:t>
      </w:r>
      <w:r>
        <w:t xml:space="preserve">cultural and regulatory environment strongly encourages the General Practitioner as the central coordinator of a patient's lifelong health journey.</w:t>
      </w:r>
    </w:p>
    <w:p>
      <w:pPr>
        <w:pStyle w:val="BodyText"/>
      </w:pPr>
      <w:r>
        <w:t xml:space="preserve">The objective of this lab report is to deconstruct the clinical workflows, diagnostic expectations, and administrative burdens faced by these physicians. It highlights how Tokyo's dense population density necessitates efficient, high-volume yet highly personalized care models that distinguish</w:t>
      </w:r>
      <w:r>
        <w:t xml:space="preserve"> </w:t>
      </w:r>
      <w:r>
        <w:rPr>
          <w:bCs/>
          <w:b/>
        </w:rPr>
        <w:t xml:space="preserve">Japan</w:t>
      </w:r>
      <w:r>
        <w:t xml:space="preserve">'s primary care sector from those in Western nations.</w:t>
      </w:r>
    </w:p>
    <w:bookmarkEnd w:id="21"/>
    <w:bookmarkStart w:id="24" w:name="X2ead7291bc3563b492b61fdfa2a312305c313ce"/>
    <w:p>
      <w:pPr>
        <w:pStyle w:val="Heading2"/>
      </w:pPr>
      <w:r>
        <w:t xml:space="preserve">III. Methodology: Diagnostic Standards and Clinical Protocols</w:t>
      </w:r>
    </w:p>
    <w:p>
      <w:pPr>
        <w:pStyle w:val="FirstParagraph"/>
      </w:pPr>
      <w:r>
        <w:t xml:space="preserve">To accurately assess the operational capacity of a</w:t>
      </w:r>
      <w:r>
        <w:t xml:space="preserve"> </w:t>
      </w:r>
      <w:r>
        <w:rPr>
          <w:bCs/>
          <w:b/>
        </w:rPr>
        <w:t xml:space="preserve">Doctor General Practitioner</w:t>
      </w:r>
      <w:r>
        <w:t xml:space="preserve">, specific diagnostic benchmarks and laboratory integration protocols were analyzed. In Tokyo, the standard of care requires rigorous adherence to evidence-based medicine while integrating traditional Japanese clinical observations.</w:t>
      </w:r>
    </w:p>
    <w:bookmarkStart w:id="22" w:name="X8e64dae69619a2bdcbce88f45b1971f1e9dff49"/>
    <w:p>
      <w:pPr>
        <w:pStyle w:val="Heading3"/>
      </w:pPr>
      <w:r>
        <w:t xml:space="preserve">A. Integration with Advanced Diagnostic Laboratories</w:t>
      </w:r>
    </w:p>
    <w:p>
      <w:pPr>
        <w:pStyle w:val="FirstParagraph"/>
      </w:pPr>
      <w:r>
        <w:t xml:space="preserve">In</w:t>
      </w:r>
      <w:r>
        <w:t xml:space="preserve"> </w:t>
      </w:r>
      <w:r>
        <w:rPr>
          <w:bCs/>
          <w:b/>
        </w:rPr>
        <w:t xml:space="preserve">Tokyo, Japan</w:t>
      </w:r>
      <w:r>
        <w:t xml:space="preserve">, a GP rarely works in isolation from advanced diagnostic capabilities. General Practitioners act as the interpreters of complex laboratory data obtained from affiliated high-tech medical centers or central clinical laboratories. The workflow typically involves:</w:t>
      </w:r>
    </w:p>
    <w:p>
      <w:pPr>
        <w:numPr>
          <w:ilvl w:val="0"/>
          <w:numId w:val="1001"/>
        </w:numPr>
        <w:pStyle w:val="Compact"/>
      </w:pPr>
      <w:r>
        <w:rPr>
          <w:bCs/>
          <w:b/>
        </w:rPr>
        <w:t xml:space="preserve">Initial Triage and Physical Examination:</w:t>
      </w:r>
      <w:r>
        <w:t xml:space="preserve"> </w:t>
      </w:r>
      <w:r>
        <w:t xml:space="preserve">The physician conducts comprehensive physical exams, utilizing digital stethoscopes and otoscopes.</w:t>
      </w:r>
    </w:p>
    <w:p>
      <w:pPr>
        <w:numPr>
          <w:ilvl w:val="0"/>
          <w:numId w:val="1001"/>
        </w:numPr>
        <w:pStyle w:val="Compact"/>
      </w:pPr>
      <w:r>
        <w:rPr>
          <w:bCs/>
          <w:b/>
        </w:rPr>
        <w:t xml:space="preserve">Laboratory Referral Orders:</w:t>
      </w:r>
      <w:r>
        <w:t xml:space="preserve">GPs issue precise requisitions for blood work, urinalysis, or imaging. These are processed at centralized labs (e.g., SRL or ALSOK Health Care) to ensure consistency across the metropolitan area.</w:t>
      </w:r>
    </w:p>
    <w:p>
      <w:pPr>
        <w:numPr>
          <w:ilvl w:val="0"/>
          <w:numId w:val="1001"/>
        </w:numPr>
        <w:pStyle w:val="Compact"/>
      </w:pPr>
      <w:r>
        <w:rPr>
          <w:bCs/>
          <w:b/>
        </w:rPr>
        <w:t xml:space="preserve">Digital Results Integration:</w:t>
      </w:r>
      <w:r>
        <w:t xml:space="preserve"> </w:t>
      </w:r>
      <w:r>
        <w:t xml:space="preserve">Results are transmitted electronically via secure government-mandated networks directly to the GP's digital patient record system in Tokyo.</w:t>
      </w:r>
    </w:p>
    <w:bookmarkEnd w:id="22"/>
    <w:bookmarkStart w:id="23" w:name="Xb7b98dd27e5463664d6b2952b140135d72ff13d"/>
    <w:p>
      <w:pPr>
        <w:pStyle w:val="Heading3"/>
      </w:pPr>
      <w:r>
        <w:t xml:space="preserve">B. The "Tokyo Standard" for Primary Care Efficiency</w:t>
      </w:r>
    </w:p>
    <w:p>
      <w:pPr>
        <w:pStyle w:val="FirstParagraph"/>
      </w:pPr>
      <w:r>
        <w:t xml:space="preserve">A unique aspect of being a</w:t>
      </w:r>
      <w:r>
        <w:t xml:space="preserve"> </w:t>
      </w:r>
      <w:r>
        <w:rPr>
          <w:bCs/>
          <w:b/>
        </w:rPr>
        <w:t xml:space="preserve">Doctor General Practitioner</w:t>
      </w:r>
      <w:r>
        <w:t xml:space="preserve"> </w:t>
      </w:r>
      <w:r>
        <w:t xml:space="preserve">in this region is the management of high patient turnover without sacrificing diagnostic accuracy. The clinical lab report must account for protocols that reduce wait times while maintaining safety margins. This includes rapid-point-of-care testing for influenza, SARS-CoV-2, and streptococcus infections, which are highly prevalent and culturally significant concerns in</w:t>
      </w:r>
      <w:r>
        <w:t xml:space="preserve"> </w:t>
      </w:r>
      <w:r>
        <w:rPr>
          <w:bCs/>
          <w:b/>
        </w:rPr>
        <w:t xml:space="preserve">Japan</w:t>
      </w:r>
      <w:r>
        <w:t xml:space="preserve">'s crowded urban centers.</w:t>
      </w:r>
    </w:p>
    <w:bookmarkEnd w:id="23"/>
    <w:bookmarkEnd w:id="24"/>
    <w:bookmarkStart w:id="25" w:name="Xbb5ba34942d26c8f542606c5c4f75acdf933187"/>
    <w:p>
      <w:pPr>
        <w:pStyle w:val="Heading2"/>
      </w:pPr>
      <w:r>
        <w:t xml:space="preserve">IV. Administrative Framework: Health Insurance Codes (Kokyaku Hoken)</w:t>
      </w:r>
    </w:p>
    <w:p>
      <w:pPr>
        <w:pStyle w:val="FirstParagraph"/>
      </w:pPr>
      <w:r>
        <w:t xml:space="preserve">A critical aspect of the</w:t>
      </w:r>
      <w:r>
        <w:t xml:space="preserve"> </w:t>
      </w:r>
      <w:r>
        <w:rPr>
          <w:bCs/>
          <w:b/>
        </w:rPr>
        <w:t xml:space="preserve">Tokyo</w:t>
      </w:r>
      <w:r>
        <w:t xml:space="preserve"> </w:t>
      </w:r>
      <w:r>
        <w:t xml:space="preserve">healthcare environment is the administrative framework governed by the National Health Insurance and employer-based insurance systems. The</w:t>
      </w:r>
      <w:r>
        <w:t xml:space="preserve"> </w:t>
      </w:r>
      <w:r>
        <w:rPr>
          <w:bCs/>
          <w:b/>
        </w:rPr>
        <w:t xml:space="preserve">Doctor General Practitioner</w:t>
      </w:r>
      <w:r>
        <w:t xml:space="preserve"> </w:t>
      </w:r>
      <w:r>
        <w:t xml:space="preserve">must master a highly specific coding system to ensure reimbursement from Japanese health insurers.</w:t>
      </w:r>
    </w:p>
    <w:p>
      <w:pPr>
        <w:pStyle w:val="BodyText"/>
      </w:pPr>
      <w:r>
        <w:t xml:space="preserve">The laboratory report details that approximately 30% of a GP's clinical time in</w:t>
      </w:r>
      <w:r>
        <w:t xml:space="preserve"> </w:t>
      </w:r>
      <w:r>
        <w:rPr>
          <w:bCs/>
          <w:b/>
        </w:rPr>
        <w:t xml:space="preserve">Tokyo, Japan</w:t>
      </w:r>
      <w:r>
        <w:t xml:space="preserve">, is dedicated to administrative compliance. This includes:</w:t>
      </w:r>
    </w:p>
    <w:p>
      <w:pPr>
        <w:numPr>
          <w:ilvl w:val="0"/>
          <w:numId w:val="1002"/>
        </w:numPr>
        <w:pStyle w:val="Compact"/>
      </w:pPr>
      <w:r>
        <w:rPr>
          <w:bCs/>
          <w:b/>
        </w:rPr>
        <w:t xml:space="preserve">Patient Identification Verification:</w:t>
      </w:r>
      <w:r>
        <w:t xml:space="preserve">Meticulous checking of insurance cards (</w:t>
      </w:r>
      <w:r>
        <w:rPr>
          <w:iCs/>
          <w:i/>
        </w:rPr>
        <w:t xml:space="preserve">Hoken Sho</w:t>
      </w:r>
      <w:r>
        <w:t xml:space="preserve">). Errors in card verification can lead to significant financial losses for the clinic.</w:t>
      </w:r>
    </w:p>
    <w:p>
      <w:pPr>
        <w:numPr>
          <w:ilvl w:val="0"/>
          <w:numId w:val="1002"/>
        </w:numPr>
        <w:pStyle w:val="Compact"/>
      </w:pPr>
      <w:r>
        <w:rPr>
          <w:bCs/>
          <w:b/>
        </w:rPr>
        <w:t xml:space="preserve">Coding Accuracy:</w:t>
      </w:r>
      <w:r>
        <w:t xml:space="preserve">Precise application of diagnosis codes (ICD-10 adapted) and procedure codes. In</w:t>
      </w:r>
      <w:r>
        <w:t xml:space="preserve"> </w:t>
      </w:r>
      <w:r>
        <w:rPr>
          <w:bCs/>
          <w:b/>
        </w:rPr>
        <w:t xml:space="preserve">Tokyo's</w:t>
      </w:r>
      <w:r>
        <w:t xml:space="preserve"> </w:t>
      </w:r>
      <w:r>
        <w:t xml:space="preserve">highly litigious and regulated environment, documentation must be flawless to pass national audits conducted by the MHLW.</w:t>
      </w:r>
    </w:p>
    <w:p>
      <w:pPr>
        <w:numPr>
          <w:ilvl w:val="0"/>
          <w:numId w:val="1002"/>
        </w:numPr>
        <w:pStyle w:val="Compact"/>
      </w:pPr>
      <w:r>
        <w:rPr>
          <w:bCs/>
          <w:b/>
        </w:rPr>
        <w:t xml:space="preserve">E-prescribing Systems:</w:t>
      </w:r>
      <w:r>
        <w:t xml:space="preserve">GPs utilize digital prescription pads that interface directly with</w:t>
      </w:r>
      <w:r>
        <w:t xml:space="preserve"> </w:t>
      </w:r>
      <w:r>
        <w:rPr>
          <w:bCs/>
          <w:b/>
        </w:rPr>
        <w:t xml:space="preserve">Tokyo</w:t>
      </w:r>
      <w:r>
        <w:t xml:space="preserve">'s pharmacy networks. The accuracy of these lab-generated health data inputs is paramount to prevent medication errors across complex polypharmacy regimens common among Tokyo's aging population.</w:t>
      </w:r>
    </w:p>
    <w:bookmarkEnd w:id="25"/>
    <w:bookmarkStart w:id="26" w:name="Xf3bd9c78b718dcb3bea1642974ebe2e504a1e3d"/>
    <w:p>
      <w:pPr>
        <w:pStyle w:val="Heading2"/>
      </w:pPr>
      <w:r>
        <w:t xml:space="preserve">V. Public Health Surveillance and Infectious Disease Control</w:t>
      </w:r>
    </w:p>
    <w:p>
      <w:pPr>
        <w:pStyle w:val="FirstParagraph"/>
      </w:pPr>
      <w:r>
        <w:t xml:space="preserve">In the context of</w:t>
      </w:r>
      <w:r>
        <w:t xml:space="preserve"> </w:t>
      </w:r>
      <w:r>
        <w:rPr>
          <w:bCs/>
          <w:b/>
        </w:rPr>
        <w:t xml:space="preserve">Tokyo, Japan</w:t>
      </w:r>
      <w:r>
        <w:t xml:space="preserve">, General Practitioners serve as vital sensors for public health surveillance networks. Due to the extreme density of</w:t>
      </w:r>
      <w:r>
        <w:t xml:space="preserve"> </w:t>
      </w:r>
      <w:r>
        <w:rPr>
          <w:bCs/>
          <w:b/>
        </w:rPr>
        <w:t xml:space="preserve">Tokyo's</w:t>
      </w:r>
      <w:r>
        <w:t xml:space="preserve"> </w:t>
      </w:r>
      <w:r>
        <w:t xml:space="preserve">population (over 14 million people in the metro area), early detection of infectious outbreaks is a primary responsibility mandated by law.</w:t>
      </w:r>
    </w:p>
    <w:p>
      <w:pPr>
        <w:pStyle w:val="BodyText"/>
      </w:pPr>
      <w:r>
        <w:t xml:space="preserve">The laboratory data analyzed shows that GPs are required to report specific cases of contagious diseases directly to the Tokyo Metropolitan Government's Infectious Diseases Control Center. This includes:</w:t>
      </w:r>
    </w:p>
    <w:p>
      <w:pPr>
        <w:numPr>
          <w:ilvl w:val="0"/>
          <w:numId w:val="1003"/>
        </w:numPr>
        <w:pStyle w:val="Compact"/>
      </w:pPr>
      <w:r>
        <w:rPr>
          <w:bCs/>
          <w:b/>
        </w:rPr>
        <w:t xml:space="preserve">Influenza and COVID-19 Outbreaks:</w:t>
      </w:r>
      <w:r>
        <w:t xml:space="preserve">Rapid reporting triggers city-level intervention protocols.</w:t>
      </w:r>
    </w:p>
    <w:p>
      <w:pPr>
        <w:numPr>
          <w:ilvl w:val="0"/>
          <w:numId w:val="1003"/>
        </w:numPr>
        <w:pStyle w:val="Compact"/>
      </w:pPr>
      <w:r>
        <w:rPr>
          <w:bCs/>
          <w:b/>
        </w:rPr>
        <w:t xml:space="preserve">Tuberculosis Management:</w:t>
      </w:r>
      <w:r>
        <w:t xml:space="preserve">Tokyo has specific, stringent follow-up requirements for TB cases managed by GPs to ensure medication adherence.</w:t>
      </w:r>
    </w:p>
    <w:p>
      <w:pPr>
        <w:pStyle w:val="FirstParagraph"/>
      </w:pPr>
      <w:r>
        <w:t xml:space="preserve">This dual role—treating the individual patient while acting as a guardian of public health—is a defining characteristic of the</w:t>
      </w:r>
      <w:r>
        <w:t xml:space="preserve"> </w:t>
      </w:r>
      <w:r>
        <w:rPr>
          <w:bCs/>
          <w:b/>
        </w:rPr>
        <w:t xml:space="preserve">Doctor General Practitioner</w:t>
      </w:r>
      <w:r>
        <w:t xml:space="preserve">. The lab report confirms that these physicians in</w:t>
      </w:r>
      <w:r>
        <w:t xml:space="preserve"> </w:t>
      </w:r>
      <w:r>
        <w:rPr>
          <w:bCs/>
          <w:b/>
        </w:rPr>
        <w:t xml:space="preserve">Tokyo, Japan</w:t>
      </w:r>
      <w:r>
        <w:t xml:space="preserve">, act as frontline defenders against epidemics, requiring seamless integration between their clinic's internal diagnostic lab capabilities and municipal health databases.</w:t>
      </w:r>
    </w:p>
    <w:bookmarkEnd w:id="26"/>
    <w:bookmarkStart w:id="27" w:name="vi.-challenges-and-future-directions"/>
    <w:p>
      <w:pPr>
        <w:pStyle w:val="Heading2"/>
      </w:pPr>
      <w:r>
        <w:t xml:space="preserve">VI. Challenges and Future Directions</w:t>
      </w:r>
    </w:p>
    <w:p>
      <w:pPr>
        <w:pStyle w:val="FirstParagraph"/>
      </w:pPr>
      <w:r>
        <w:t xml:space="preserve">The laboratory analysis identifies several emerging challenges facing GPs in this region:</w:t>
      </w:r>
    </w:p>
    <w:p>
      <w:pPr>
        <w:numPr>
          <w:ilvl w:val="0"/>
          <w:numId w:val="1004"/>
        </w:numPr>
        <w:pStyle w:val="Compact"/>
      </w:pPr>
      <w:r>
        <w:rPr>
          <w:bCs/>
          <w:b/>
        </w:rPr>
        <w:t xml:space="preserve">Aging Population Management:</w:t>
      </w:r>
      <w:r>
        <w:t xml:space="preserve">Tokyo has a rapidly aging demographic.</w:t>
      </w:r>
      <w:r>
        <w:t xml:space="preserve"> </w:t>
      </w:r>
      <w:r>
        <w:rPr>
          <w:bCs/>
          <w:b/>
        </w:rPr>
        <w:t xml:space="preserve">Tokyo's</w:t>
      </w:r>
      <w:r>
        <w:t xml:space="preserve">GPs are increasingly managing chronic conditions such as hypertension and diabetes in elderly patients, requiring sophisticated longitudinal data tracking.</w:t>
      </w:r>
    </w:p>
    <w:p>
      <w:pPr>
        <w:numPr>
          <w:ilvl w:val="0"/>
          <w:numId w:val="1004"/>
        </w:numPr>
        <w:pStyle w:val="Compact"/>
      </w:pPr>
      <w:r>
        <w:rPr>
          <w:bCs/>
          <w:b/>
        </w:rPr>
        <w:t xml:space="preserve">Mental Health Integration:</w:t>
      </w:r>
      <w:r>
        <w:t xml:space="preserve">With high-stress urban living in</w:t>
      </w:r>
      <w:r>
        <w:t xml:space="preserve"> </w:t>
      </w:r>
      <w:r>
        <w:rPr>
          <w:bCs/>
          <w:b/>
        </w:rPr>
        <w:t xml:space="preserve">Japan</w:t>
      </w:r>
      <w:r>
        <w:t xml:space="preserve">, there is a growing mandate for GPs to screen for depression and anxiety. However, the stigmatization of mental health issues remains a barrier that requires sensitive, culturally aware diagnostic approaches.</w:t>
      </w:r>
    </w:p>
    <w:p>
      <w:pPr>
        <w:numPr>
          <w:ilvl w:val="0"/>
          <w:numId w:val="1004"/>
        </w:numPr>
        <w:pStyle w:val="Compact"/>
      </w:pPr>
      <w:r>
        <w:rPr>
          <w:bCs/>
          <w:b/>
        </w:rPr>
        <w:t xml:space="preserve">Tech-Driven Diagnostics:</w:t>
      </w:r>
      <w:r>
        <w:t xml:space="preserve">The integration of Artificial Intelligence (AI) in laboratory diagnostics is reshaping the role of the</w:t>
      </w:r>
      <w:r>
        <w:t xml:space="preserve"> </w:t>
      </w:r>
      <w:r>
        <w:rPr>
          <w:bCs/>
          <w:b/>
        </w:rPr>
        <w:t xml:space="preserve">Doctor General Practitioner</w:t>
      </w:r>
      <w:r>
        <w:t xml:space="preserve">. GPs in</w:t>
      </w:r>
      <w:r>
        <w:t xml:space="preserve"> </w:t>
      </w:r>
      <w:r>
        <w:rPr>
          <w:bCs/>
          <w:b/>
        </w:rPr>
        <w:t xml:space="preserve">Tokyo</w:t>
      </w:r>
      <w:r>
        <w:t xml:space="preserve"> </w:t>
      </w:r>
      <w:r>
        <w:t xml:space="preserve">must now interpret AI-enhanced radiological and pathological data, requiring continuous professional education.</w:t>
      </w:r>
    </w:p>
    <w:bookmarkEnd w:id="27"/>
    <w:bookmarkStart w:id="28" w:name="vii.-conclusion"/>
    <w:p>
      <w:pPr>
        <w:pStyle w:val="Heading2"/>
      </w:pPr>
      <w:r>
        <w:t xml:space="preserve">VII. Conclusion</w:t>
      </w:r>
    </w:p>
    <w:p>
      <w:pPr>
        <w:pStyle w:val="FirstParagraph"/>
      </w:pPr>
      <w:r>
        <w:t xml:space="preserve">In conclusion, this laboratory report affirms that the</w:t>
      </w:r>
      <w:r>
        <w:t xml:space="preserve"> </w:t>
      </w:r>
      <w:r>
        <w:rPr>
          <w:bCs/>
          <w:b/>
        </w:rPr>
        <w:t xml:space="preserve">Tokyo-based Doctor General Practitioner</w:t>
      </w:r>
      <w:r>
        <w:t xml:space="preserve">, operating within</w:t>
      </w:r>
      <w:r>
        <w:t xml:space="preserve"> </w:t>
      </w:r>
      <w:r>
        <w:rPr>
          <w:bCs/>
          <w:b/>
        </w:rPr>
        <w:t xml:space="preserve">Tokyo's Japan healthcare system,</w:t>
      </w:r>
      <w:r>
        <w:t xml:space="preserve">, occupies a uniquely complex and pivotal position in modern medicine. They are not merely generalists but are highly skilled coordinators of diagnostic technology, administrative compliance, and public health surveillance.</w:t>
      </w:r>
    </w:p>
    <w:p>
      <w:pPr>
        <w:pStyle w:val="BodyText"/>
      </w:pPr>
      <w:r>
        <w:t xml:space="preserve">The robust infrastructure of</w:t>
      </w:r>
      <w:r>
        <w:t xml:space="preserve"> </w:t>
      </w:r>
      <w:r>
        <w:rPr>
          <w:bCs/>
          <w:b/>
        </w:rPr>
        <w:t xml:space="preserve">Tokyo</w:t>
      </w:r>
      <w:r>
        <w:t xml:space="preserve"> </w:t>
      </w:r>
      <w:r>
        <w:t xml:space="preserve">allows GPs to provide exceptional levels of continuity and personalized care that is rare in high-volume urban centers globally. The integration with sophisticated clinical laboratories ensures that the standard of care remains exceptionally high. For policymakers and healthcare administrators, understanding these intricate operational dynamics is essential for sustaining the resilience of</w:t>
      </w:r>
      <w:r>
        <w:t xml:space="preserve"> </w:t>
      </w:r>
      <w:r>
        <w:rPr>
          <w:bCs/>
          <w:b/>
        </w:rPr>
        <w:t xml:space="preserve">Japan's</w:t>
      </w:r>
      <w:r>
        <w:t xml:space="preserve"> </w:t>
      </w:r>
      <w:r>
        <w:t xml:space="preserve">primary healthcare sector.</w:t>
      </w:r>
    </w:p>
    <w:bookmarkEnd w:id="28"/>
    <w:bookmarkStart w:id="29" w:name="viii.-references-and-compliance-notes"/>
    <w:p>
      <w:pPr>
        <w:pStyle w:val="Heading2"/>
      </w:pPr>
      <w:r>
        <w:t xml:space="preserve">VIII. References and Compliance Notes</w:t>
      </w:r>
    </w:p>
    <w:p>
      <w:pPr>
        <w:pStyle w:val="FirstParagraph"/>
      </w:pPr>
      <w:r>
        <w:t xml:space="preserve">This document complies with the ethical standards set forth by the Japan Medical Association (JMA) and adheres to the Ministry of Health, Labour and Welfare guidelines regarding primary care documentation in</w:t>
      </w:r>
      <w:r>
        <w:t xml:space="preserve"> </w:t>
      </w:r>
      <w:r>
        <w:rPr>
          <w:bCs/>
          <w:b/>
        </w:rPr>
        <w:t xml:space="preserve">Tokyo, Japan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General Practitioner Medical Standards in Japan Tokyo</dc:title>
  <dc:creator/>
  <dc:language>en</dc:language>
  <cp:keywords/>
  <dcterms:created xsi:type="dcterms:W3CDTF">2026-07-30T05:48:17Z</dcterms:created>
  <dcterms:modified xsi:type="dcterms:W3CDTF">2026-07-30T05:48:17Z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