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for</w:t>
      </w:r>
      <w:r>
        <w:t xml:space="preserve"> </w:t>
      </w:r>
      <w:r>
        <w:t xml:space="preserve">General</w:t>
      </w:r>
      <w:r>
        <w:t xml:space="preserve"> </w:t>
      </w:r>
      <w:r>
        <w:t xml:space="preserve">Practitioner</w:t>
      </w:r>
      <w:r>
        <w:t xml:space="preserve"> </w:t>
      </w:r>
      <w:r>
        <w:t xml:space="preserve">Consultation</w:t>
      </w:r>
      <w:r>
        <w:t xml:space="preserve"> </w:t>
      </w:r>
      <w:r>
        <w:t xml:space="preserve">-</w:t>
      </w:r>
      <w:r>
        <w:t xml:space="preserve"> </w:t>
      </w:r>
      <w:r>
        <w:t xml:space="preserve">Kuala</w:t>
      </w:r>
      <w:r>
        <w:t xml:space="preserve"> </w:t>
      </w:r>
      <w:r>
        <w:t xml:space="preserve">Lumpur</w:t>
      </w:r>
    </w:p>
    <w:bookmarkStart w:id="20" w:name="X59658ccbc3960a8118495adf97226eedba22055"/>
    <w:p>
      <w:pPr>
        <w:pStyle w:val="Heading1"/>
      </w:pPr>
      <w:r>
        <w:t xml:space="preserve">Laboratory Report Documentation for General Practitioner Assessment in Kuala Lumpur, Malaysia</w:t>
      </w:r>
    </w:p>
    <w:p>
      <w:pPr>
        <w:pStyle w:val="FirstParagraph"/>
      </w:pPr>
      <w:r>
        <w:rPr>
          <w:bCs/>
          <w:b/>
        </w:rPr>
        <w:t xml:space="preserve">Date of Report:</w:t>
      </w:r>
      <w:r>
        <w:t xml:space="preserve"> </w:t>
      </w:r>
      <w:r>
        <w:t xml:space="preserve">October 26, 2023</w:t>
      </w:r>
      <w:r>
        <w:br/>
      </w:r>
      <w:r>
        <w:rPr>
          <w:bCs/>
          <w:b/>
        </w:rPr>
        <w:t xml:space="preserve">Patient ID:</w:t>
      </w:r>
      <w:r>
        <w:t xml:space="preserve"> </w:t>
      </w:r>
      <w:r>
        <w:t xml:space="preserve">KL-8892-XJ</w:t>
      </w:r>
      <w:r>
        <w:br/>
      </w:r>
    </w:p>
    <w:p>
      <w:pPr>
        <w:pStyle w:val="BodyText"/>
      </w:pPr>
      <w:r>
        <w:t xml:space="preserve">Facility Type:** Primary Care Laboratory Service Partnered with GP Clinic</w:t>
      </w:r>
    </w:p>
    <w:bookmarkEnd w:id="20"/>
    <w:bookmarkStart w:id="21" w:name="introduction-and-contextual-framework"/>
    <w:p>
      <w:pPr>
        <w:pStyle w:val="Heading2"/>
      </w:pPr>
      <w:r>
        <w:t xml:space="preserve">1. Introduction and Contextual Framework</w:t>
      </w:r>
    </w:p>
    <w:p>
      <w:pPr>
        <w:pStyle w:val="FirstParagraph"/>
      </w:pPr>
      <w:r>
        <w:t xml:space="preserve">This document serves as a comprehensive laboratory report designed to facilitate accurate diagnosis and treatment planning by a</w:t>
      </w:r>
      <w:r>
        <w:t xml:space="preserve"> </w:t>
      </w:r>
      <w:r>
        <w:rPr>
          <w:bCs/>
          <w:b/>
        </w:rPr>
        <w:t xml:space="preserve">Doctor General Practitioner</w:t>
      </w:r>
      <w:r>
        <w:t xml:space="preserve">. The clinical data presented herein is situated within the specific healthcare ecosystem of</w:t>
      </w:r>
      <w:r>
        <w:t xml:space="preserve"> </w:t>
      </w:r>
      <w:r>
        <w:rPr>
          <w:bCs/>
          <w:b/>
        </w:rPr>
        <w:t xml:space="preserve">Malaysia Kuala Lumpur</w:t>
      </w:r>
      <w:r>
        <w:t xml:space="preserve">, where primary care plays a pivotal role in managing both acute and chronic conditions. In this highly urbanized region, the synergy between diagnostic laboratories and general practitioners is critical for efficient patient management.</w:t>
      </w:r>
    </w:p>
    <w:p>
      <w:pPr>
        <w:pStyle w:val="BodyText"/>
      </w:pPr>
      <w:r>
        <w:t xml:space="preserve">The purpose of this report is not merely to present raw data but to contextualize laboratory findings within the epidemiological reality of Kuala Lumpur. Given the city's status as a major metropolitan hub in Southeast Asia, patients often present with diverse health profiles ranging from tropical infectious diseases to lifestyle-related non-communicable diseases. Therefore, this</w:t>
      </w:r>
      <w:r>
        <w:t xml:space="preserve"> </w:t>
      </w:r>
      <w:r>
        <w:rPr>
          <w:bCs/>
          <w:b/>
        </w:rPr>
        <w:t xml:space="preserve">Lab Report</w:t>
      </w:r>
      <w:r>
        <w:t xml:space="preserve"> </w:t>
      </w:r>
      <w:r>
        <w:t xml:space="preserve">is structured to assist the</w:t>
      </w:r>
      <w:r>
        <w:t xml:space="preserve"> </w:t>
      </w:r>
      <w:r>
        <w:rPr>
          <w:bCs/>
          <w:b/>
        </w:rPr>
        <w:t xml:space="preserve">Doctor General Practitioner</w:t>
      </w:r>
      <w:r>
        <w:t xml:space="preserve"> </w:t>
      </w:r>
      <w:r>
        <w:t xml:space="preserve">in interpreting results that are relevant to the local population's genetic predispositions and environmental exposures.</w:t>
      </w:r>
    </w:p>
    <w:bookmarkEnd w:id="21"/>
    <w:bookmarkStart w:id="22" w:name="X247a28c11405770597f13220039bc1eb9c0e05f"/>
    <w:p>
      <w:pPr>
        <w:pStyle w:val="Heading2"/>
      </w:pPr>
      <w:r>
        <w:t xml:space="preserve">2. Methodology and Sample Collection Protocols in Kuala Lumpur</w:t>
      </w:r>
    </w:p>
    <w:p>
      <w:pPr>
        <w:pStyle w:val="FirstParagraph"/>
      </w:pPr>
      <w:r>
        <w:t xml:space="preserve">The collection of biological samples for this analysis adheres strictly to the guidelines set forth by the Ministry of Health Malaysia (KKM). In</w:t>
      </w:r>
      <w:r>
        <w:t xml:space="preserve"> </w:t>
      </w:r>
      <w:r>
        <w:rPr>
          <w:bCs/>
          <w:b/>
        </w:rPr>
        <w:t xml:space="preserve">Malaysia Kuala Lumpur</w:t>
      </w:r>
      <w:r>
        <w:t xml:space="preserve">, standardization is key to ensuring that laboratory results are reliable across different healthcare providers, whether in public hospitals or private GP clinics. The protocol followed includes:</w:t>
      </w:r>
    </w:p>
    <w:p>
      <w:pPr>
        <w:numPr>
          <w:ilvl w:val="0"/>
          <w:numId w:val="1001"/>
        </w:numPr>
        <w:pStyle w:val="Compact"/>
      </w:pPr>
      <w:r>
        <w:rPr>
          <w:bCs/>
          <w:b/>
        </w:rPr>
        <w:t xml:space="preserve">Patient Identification:</w:t>
      </w:r>
      <w:r>
        <w:t xml:space="preserve"> </w:t>
      </w:r>
      <w:r>
        <w:t xml:space="preserve">Double-verification using the Malaysian MyKad system to ensure accurate patient tracking.</w:t>
      </w:r>
    </w:p>
    <w:p>
      <w:pPr>
        <w:numPr>
          <w:ilvl w:val="0"/>
          <w:numId w:val="1001"/>
        </w:numPr>
        <w:pStyle w:val="Compact"/>
      </w:pPr>
      <w:r>
        <w:rPr>
          <w:bCs/>
          <w:b/>
        </w:rPr>
        <w:t xml:space="preserve">Fasting Status Verification:</w:t>
      </w:r>
      <w:r>
        <w:t xml:space="preserve"> </w:t>
      </w:r>
      <w:r>
        <w:t xml:space="preserve">Confirmation of an 8-12 hour fasting window, crucial for lipid profiles and glucose metabolism assessments common in GP consultations.</w:t>
      </w:r>
    </w:p>
    <w:p>
      <w:pPr>
        <w:numPr>
          <w:ilvl w:val="0"/>
          <w:numId w:val="1001"/>
        </w:numPr>
        <w:pStyle w:val="Compact"/>
      </w:pPr>
      <w:r>
        <w:rPr>
          <w:bCs/>
          <w:b/>
        </w:rPr>
        <w:t xml:space="preserve">Safety Protocols:</w:t>
      </w:r>
      <w:r>
        <w:t xml:space="preserve"> </w:t>
      </w:r>
      <w:r>
        <w:t xml:space="preserve">Adherence to biohazard handling procedures specific to the humid tropical climate of Kuala Lumpur, which can affect sample stability if transport times are delayed.</w:t>
      </w:r>
    </w:p>
    <w:p>
      <w:pPr>
        <w:pStyle w:val="FirstParagraph"/>
      </w:pPr>
      <w:r>
        <w:t xml:space="preserve">This rigorous approach ensures that the</w:t>
      </w:r>
      <w:r>
        <w:t xml:space="preserve"> </w:t>
      </w:r>
      <w:r>
        <w:rPr>
          <w:bCs/>
          <w:b/>
        </w:rPr>
        <w:t xml:space="preserve">Doctor General Practitioner</w:t>
      </w:r>
      <w:r>
        <w:t xml:space="preserve"> </w:t>
      </w:r>
      <w:r>
        <w:t xml:space="preserve">receives data that is both clinically valid and legally defensible within the Malaysian healthcare framework.</w:t>
      </w:r>
    </w:p>
    <w:bookmarkEnd w:id="22"/>
    <w:bookmarkStart w:id="23" w:name="clinical-history-and-referral-details"/>
    <w:p>
      <w:pPr>
        <w:pStyle w:val="Heading2"/>
      </w:pPr>
      <w:r>
        <w:t xml:space="preserve">3. Clinical History and Referral Details</w:t>
      </w:r>
    </w:p>
    <w:p>
      <w:pPr>
        <w:pStyle w:val="FirstParagraph"/>
      </w:pPr>
      <w:r>
        <w:t xml:space="preserve">Referring GP:</w:t>
      </w:r>
    </w:p>
    <w:p>
      <w:pPr>
        <w:pStyle w:val="BodyText"/>
      </w:pPr>
      <w:r>
        <w:t xml:space="preserve">Name:</w:t>
      </w:r>
    </w:p>
    <w:bookmarkEnd w:id="23"/>
    <w:p>
      <w:pPr>
        <w:pStyle w:val="BodyText"/>
      </w:pPr>
      <w:r>
        <w:t xml:space="preserve">Dr. Aisyah Binti Hassan</w:t>
      </w:r>
    </w:p>
    <w:p>
      <w:pPr>
        <w:pStyle w:val="BodyText"/>
      </w:pPr>
      <w:r>
        <w:t xml:space="preserve">Clinic Location:</w:t>
      </w:r>
    </w:p>
    <w:p>
      <w:pPr>
        <w:pStyle w:val="BodyText"/>
      </w:pPr>
      <w:r>
        <w:t xml:space="preserve">Bangsar, Kuala Lumpur</w:t>
      </w:r>
    </w:p>
    <w:p>
      <w:pPr>
        <w:pStyle w:val="BodyText"/>
      </w:pPr>
      <w:r>
        <w:t xml:space="preserve">&lt;</w:t>
      </w:r>
    </w:p>
    <w:p>
      <w:pPr>
        <w:pStyle w:val="BodyText"/>
      </w:pPr>
      <w:r>
        <w:t xml:space="preserve">Date of Visit:</w:t>
      </w:r>
    </w:p>
    <w:p>
      <w:pPr>
        <w:pStyle w:val="BodyText"/>
      </w:pPr>
      <w:r>
        <w:t xml:space="preserve">&lt;</w:t>
      </w:r>
    </w:p>
    <w:p>
      <w:pPr>
        <w:pStyle w:val="BodyText"/>
      </w:pPr>
      <w:r>
        <w:t xml:space="preserve">October 24, 2023</w:t>
      </w:r>
    </w:p>
    <w:p>
      <w:pPr>
        <w:pStyle w:val="BodyText"/>
      </w:pPr>
      <w:r>
        <w:t xml:space="preserve">Patient Presentation:</w:t>
      </w:r>
    </w:p>
    <w:p>
      <w:pPr>
        <w:pStyle w:val="BodyText"/>
      </w:pPr>
      <w:r>
        <w:t xml:space="preserve">The patient presented with complaints of persistent fatigue, occasional polyuria, and mild weight loss over the past three months. Given the rising prevalence of Type 2 Diabetes Mellitus (T2DM) in urban centers like</w:t>
      </w:r>
      <w:r>
        <w:t xml:space="preserve"> </w:t>
      </w:r>
      <w:r>
        <w:rPr>
          <w:bCs/>
          <w:b/>
        </w:rPr>
        <w:t xml:space="preserve">Malaysia Kuala Lumpur</w:t>
      </w:r>
      <w:r>
        <w:t xml:space="preserve">, these symptoms raised immediate suspicion for metabolic disorders. The</w:t>
      </w:r>
      <w:r>
        <w:t xml:space="preserve"> </w:t>
      </w:r>
      <w:r>
        <w:rPr>
          <w:bCs/>
          <w:b/>
        </w:rPr>
        <w:t xml:space="preserve">Doctor General Practitioner</w:t>
      </w:r>
      <w:r>
        <w:t xml:space="preserve"> </w:t>
      </w:r>
      <w:r>
        <w:t xml:space="preserve">ordered a comprehensive metabolic panel to assess glycemic control, renal function, and lipid status.</w:t>
      </w:r>
    </w:p>
    <w:p>
      <w:pPr>
        <w:pStyle w:val="BodyText"/>
      </w:pPr>
      <w:r>
        <w:t xml:space="preserve">Relevant Medical History:</w:t>
      </w:r>
    </w:p>
    <w:p>
      <w:pPr>
        <w:numPr>
          <w:ilvl w:val="0"/>
          <w:numId w:val="1002"/>
        </w:numPr>
        <w:pStyle w:val="Compact"/>
      </w:pPr>
      <w:r>
        <w:t xml:space="preserve">Father diagnosed with Hypertension at age 50.</w:t>
      </w:r>
    </w:p>
    <w:p>
      <w:pPr>
        <w:numPr>
          <w:ilvl w:val="0"/>
          <w:numId w:val="1002"/>
        </w:numPr>
        <w:pStyle w:val="Compact"/>
      </w:pPr>
      <w:r>
        <w:t xml:space="preserve">Sedentary lifestyle due to office-based employment in the KLCC business district.</w:t>
      </w:r>
    </w:p>
    <w:p>
      <w:pPr>
        <w:numPr>
          <w:ilvl w:val="0"/>
          <w:numId w:val="1002"/>
        </w:numPr>
        <w:pStyle w:val="Compact"/>
      </w:pPr>
      <w:r>
        <w:t xml:space="preserve">Diet high in refined carbohydrates and sugary beverages, common in local dietary habits.</w:t>
      </w:r>
    </w:p>
    <w:bookmarkStart w:id="25" w:name="laboratory-findings-and-analysis"/>
    <w:p>
      <w:pPr>
        <w:pStyle w:val="Heading2"/>
      </w:pPr>
      <w:r>
        <w:t xml:space="preserve">4. Laboratory Findings and Analysis</w:t>
      </w:r>
    </w:p>
    <w:p>
      <w:pPr>
        <w:pStyle w:val="FirstParagraph"/>
      </w:pPr>
      <w:r>
        <w:t xml:space="preserve">The following results were generated using automated analyzers calibrated according to international standards but adjusted for local reference ranges where necessary. The</w:t>
      </w:r>
      <w:r>
        <w:t xml:space="preserve"> </w:t>
      </w:r>
      <w:r>
        <w:rPr>
          <w:bCs/>
          <w:b/>
        </w:rPr>
        <w:t xml:space="preserve">Lab Report</w:t>
      </w:r>
      <w:r>
        <w:t xml:space="preserve"> </w:t>
      </w:r>
      <w:r>
        <w:t xml:space="preserve">details the critical values that the</w:t>
      </w:r>
      <w:r>
        <w:t xml:space="preserve"> </w:t>
      </w:r>
      <w:r>
        <w:rPr>
          <w:bCs/>
          <w:b/>
        </w:rPr>
        <w:t xml:space="preserve">Doctor General Practitioner</w:t>
      </w:r>
      <w:r>
        <w:t xml:space="preserve"> </w:t>
      </w:r>
      <w:r>
        <w:t xml:space="preserve">must evaluate.</w:t>
      </w:r>
    </w:p>
    <w:bookmarkStart w:id="24" w:name="Xa6d3ac6b1a6db6e41388235095929bee92abce1"/>
    <w:p>
      <w:pPr>
        <w:pStyle w:val="Heading3"/>
      </w:pPr>
      <w:r>
        <w:t xml:space="preserve">A. Hematology Profile (Complete Blood Count)</w:t>
      </w:r>
    </w:p>
    <w:p>
      <w:pPr>
        <w:pStyle w:val="FirstParagraph"/>
      </w:pPr>
      <w:r>
        <w:t xml:space="preserve">Test Parameter</w:t>
      </w:r>
    </w:p>
    <w:bookmarkEnd w:id="24"/>
    <w:bookmarkEnd w:id="25"/>
    <w:p>
      <w:pPr>
        <w:pStyle w:val="BodyText"/>
      </w:pPr>
      <w:r>
        <w:t xml:space="preserve">Result</w:t>
      </w:r>
    </w:p>
    <w:p>
      <w:pPr>
        <w:pStyle w:val="BodyText"/>
      </w:pPr>
      <w:r>
        <w:t xml:space="preserve">Reference Range</w:t>
      </w:r>
    </w:p>
    <w:p>
      <w:pPr>
        <w:pStyle w:val="BodyText"/>
      </w:pPr>
      <w:r>
        <w:t xml:space="preserve">Status</w:t>
      </w:r>
    </w:p>
    <w:p>
      <w:pPr>
        <w:pStyle w:val="BodyText"/>
      </w:pPr>
      <w:r>
        <w:t xml:space="preserve">Hemoglobin (Hb)</w:t>
      </w:r>
    </w:p>
    <w:p>
      <w:pPr>
        <w:pStyle w:val="BodyText"/>
      </w:pPr>
      <w:r>
        <w:t xml:space="preserve">13.2 g/dL</w:t>
      </w:r>
    </w:p>
    <w:p>
      <w:pPr>
        <w:pStyle w:val="BodyText"/>
      </w:pPr>
      <w:r>
        <w:t xml:space="preserve">M: 13.0-17.0 / F: 12.0-15.5 g/dL</w:t>
      </w:r>
    </w:p>
    <w:p>
      <w:pPr>
        <w:pStyle w:val="BodyText"/>
      </w:pPr>
      <w:r>
        <w:t xml:space="preserve">Normal</w:t>
      </w:r>
    </w:p>
    <w:p>
      <w:pPr>
        <w:pStyle w:val="BodyText"/>
      </w:pPr>
      <w:r>
        <w:t xml:space="preserve">Total White Blood Cell Count (WBC)</w:t>
      </w:r>
    </w:p>
    <w:p>
      <w:pPr>
        <w:pStyle w:val="BodyText"/>
      </w:pPr>
      <w:r>
        <w:t xml:space="preserve">6.8 x 10^9/L</w:t>
      </w:r>
    </w:p>
    <w:p>
      <w:pPr>
        <w:pStyle w:val="BodyText"/>
      </w:pPr>
      <w:r>
        <w:t xml:space="preserve">(4.5 - 11.0) x 10^9/L</w:t>
      </w:r>
    </w:p>
    <w:p>
      <w:pPr>
        <w:pStyle w:val="BodyText"/>
      </w:pPr>
      <w:r>
        <w:t xml:space="preserve">Normal</w:t>
      </w:r>
    </w:p>
    <w:p>
      <w:pPr>
        <w:pStyle w:val="BodyText"/>
      </w:pPr>
      <w:r>
        <w:t xml:space="preserve">Eosinophils %</w:t>
      </w:r>
    </w:p>
    <w:p>
      <w:pPr>
        <w:pStyle w:val="BodyText"/>
      </w:pPr>
      <w:r>
        <w:t xml:space="preserve">2%</w:t>
      </w:r>
    </w:p>
    <w:p>
      <w:pPr>
        <w:pStyle w:val="BodyText"/>
      </w:pPr>
      <w:r>
        <w:t xml:space="preserve">1-4%</w:t>
      </w:r>
    </w:p>
    <w:p>
      <w:pPr>
        <w:pStyle w:val="BodyText"/>
      </w:pPr>
      <w:r>
        <w:t xml:space="preserve">Normal</w:t>
      </w:r>
    </w:p>
    <w:bookmarkStart w:id="26" w:name="b.-metabolic-and-endocrine-profile"/>
    <w:p>
      <w:pPr>
        <w:pStyle w:val="Heading3"/>
      </w:pPr>
      <w:r>
        <w:t xml:space="preserve">B. Metabolic and Endocrine Profile</w:t>
      </w:r>
    </w:p>
    <w:p>
      <w:pPr>
        <w:pStyle w:val="FirstParagraph"/>
      </w:pPr>
      <w:r>
        <w:t xml:space="preserve">This section is of paramount importance for the GP in Kuala Lumpur, given the high burden of metabolic syndrome.</w:t>
      </w:r>
    </w:p>
    <w:p>
      <w:pPr>
        <w:pStyle w:val="BodyText"/>
      </w:pPr>
      <w:r>
        <w:t xml:space="preserve">Test Parameter</w:t>
      </w:r>
    </w:p>
    <w:p>
      <w:pPr>
        <w:pStyle w:val="BodyText"/>
      </w:pPr>
      <w:r>
        <w:t xml:space="preserve">Result</w:t>
      </w:r>
    </w:p>
    <w:p>
      <w:pPr>
        <w:pStyle w:val="BodyText"/>
      </w:pPr>
      <w:r>
        <w:t xml:space="preserve">Reference Range</w:t>
      </w:r>
    </w:p>
    <w:p>
      <w:pPr>
        <w:pStyle w:val="BodyText"/>
      </w:pPr>
      <w:r>
        <w:t xml:space="preserve">Fasting Blood Glucose (FBG)</w:t>
      </w:r>
    </w:p>
    <w:p>
      <w:pPr>
        <w:pStyle w:val="BodyText"/>
      </w:pPr>
      <w:r>
        <w:t xml:space="preserve">7.2 mmol/L</w:t>
      </w:r>
    </w:p>
    <w:p>
      <w:pPr>
        <w:pStyle w:val="BodyText"/>
      </w:pPr>
      <w:r>
        <w:t xml:space="preserve">&lt; 6.1 mmol/L (Normal); 6.1-6.9 (Impaired Fasting Glucose)</w:t>
      </w:r>
    </w:p>
    <w:p>
      <w:pPr>
        <w:pStyle w:val="BodyText"/>
      </w:pPr>
      <w:r>
        <w:t xml:space="preserve">Test Parameter</w:t>
      </w:r>
    </w:p>
    <w:p>
      <w:pPr>
        <w:pStyle w:val="BodyText"/>
      </w:pPr>
      <w:r>
        <w:t xml:space="preserve">Result</w:t>
      </w:r>
    </w:p>
    <w:p>
      <w:pPr>
        <w:pStyle w:val="BodyText"/>
      </w:pPr>
      <w:r>
        <w:t xml:space="preserve">The elevated Fasting Blood Glucose indicates a deviation from normal homeostasis. The GP must correlate this with HbA1c results (see below) to determine if diabetes mellitus or pre-diabetes is present. In the context of</w:t>
      </w:r>
      <w:r>
        <w:t xml:space="preserve"> </w:t>
      </w:r>
      <w:r>
        <w:rPr>
          <w:bCs/>
          <w:b/>
        </w:rPr>
        <w:t xml:space="preserve">Malaysia Kuala Lumpur</w:t>
      </w:r>
      <w:r>
        <w:t xml:space="preserve">, where lifestyle factors are rapidly changing, early detection via such lab reports allows for timely intervention.</w:t>
      </w:r>
    </w:p>
    <w:bookmarkEnd w:id="26"/>
    <w:bookmarkStart w:id="27" w:name="c.-lipid-profile"/>
    <w:p>
      <w:pPr>
        <w:pStyle w:val="Heading3"/>
      </w:pPr>
      <w:r>
        <w:t xml:space="preserve">C. Lipid Profile</w:t>
      </w:r>
    </w:p>
    <w:p>
      <w:pPr>
        <w:pStyle w:val="FirstParagraph"/>
      </w:pPr>
      <w:r>
        <w:t xml:space="preserve">Test Parameter</w:t>
      </w:r>
    </w:p>
    <w:p>
      <w:pPr>
        <w:pStyle w:val="BodyText"/>
      </w:pPr>
      <w:r>
        <w:t xml:space="preserve">Result</w:t>
      </w:r>
    </w:p>
    <w:p>
      <w:pPr>
        <w:pStyle w:val="BodyText"/>
      </w:pPr>
      <w:r>
        <w:t xml:space="preserve">Normal</w:t>
      </w:r>
    </w:p>
    <w:p>
      <w:pPr>
        <w:pStyle w:val="BodyText"/>
      </w:pPr>
      <w:r>
        <w:t xml:space="preserve">High LDL, Low HDL pattern observed.</w:t>
      </w:r>
    </w:p>
    <w:p>
      <w:pPr>
        <w:pStyle w:val="BodyText"/>
      </w:pPr>
      <w:r>
        <w:t xml:space="preserve">Warning Flag (Refer to GP)</w:t>
      </w:r>
    </w:p>
    <w:p>
      <w:pPr>
        <w:pStyle w:val="BodyText"/>
      </w:pPr>
      <w:r>
        <w:t xml:space="preserve">The lipid profile shows a concerning pattern. High LDL coupled with low HDL is a significant risk factor for cardiovascular disease, which is the leading cause of death in Malaysia. The</w:t>
      </w:r>
      <w:r>
        <w:t xml:space="preserve"> </w:t>
      </w:r>
      <w:r>
        <w:rPr>
          <w:bCs/>
          <w:b/>
        </w:rPr>
        <w:t xml:space="preserve">Doctor General Practitioner</w:t>
      </w:r>
      <w:r>
        <w:t xml:space="preserve"> </w:t>
      </w:r>
      <w:r>
        <w:t xml:space="preserve">will need to assess lifestyle modifications and potentially initiate statin therapy based on this lab report.</w:t>
      </w:r>
    </w:p>
    <w:bookmarkEnd w:id="27"/>
    <w:bookmarkStart w:id="28" w:name="X1a646a7b92d46a10fd25e74558e828cc323c4b6"/>
    <w:p>
      <w:pPr>
        <w:pStyle w:val="Heading2"/>
      </w:pPr>
      <w:r>
        <w:t xml:space="preserve">5. Interpretation for the General Practitioner</w:t>
      </w:r>
    </w:p>
    <w:p>
      <w:pPr>
        <w:pStyle w:val="FirstParagraph"/>
      </w:pPr>
      <w:r>
        <w:t xml:space="preserve">This laboratory report is designed to aid the decision-making process of the</w:t>
      </w:r>
      <w:r>
        <w:t xml:space="preserve"> </w:t>
      </w:r>
      <w:r>
        <w:rPr>
          <w:bCs/>
          <w:b/>
        </w:rPr>
        <w:t xml:space="preserve">Doctor General Practitioner</w:t>
      </w:r>
      <w:r>
        <w:t xml:space="preserve">. The findings suggest a probable early-stage metabolic syndrome characterized by impaired fasting glucose and dyslipidemia. While hematology results are reassuring, ruling out anemia or acute infection, the metabolic markers require immediate attention.</w:t>
      </w:r>
    </w:p>
    <w:p>
      <w:pPr>
        <w:pStyle w:val="BodyText"/>
      </w:pPr>
      <w:r>
        <w:t xml:space="preserve">In the urban setting of</w:t>
      </w:r>
      <w:r>
        <w:t xml:space="preserve"> </w:t>
      </w:r>
      <w:r>
        <w:rPr>
          <w:bCs/>
          <w:b/>
        </w:rPr>
        <w:t xml:space="preserve">Malaysia Kuala Lumpur</w:t>
      </w:r>
      <w:r>
        <w:t xml:space="preserve">, environmental stressors such as air quality in central business districts can exacerbate respiratory and inflammatory conditions. However, current WBC counts do not indicate active inflammation. The primary focus should remain on metabolic health. The GP is advised to consider:</w:t>
      </w:r>
    </w:p>
    <w:p>
      <w:pPr>
        <w:numPr>
          <w:ilvl w:val="0"/>
          <w:numId w:val="1003"/>
        </w:numPr>
        <w:pStyle w:val="Compact"/>
      </w:pPr>
      <w:r>
        <w:rPr>
          <w:bCs/>
          <w:b/>
        </w:rPr>
        <w:t xml:space="preserve">Dietary Counseling:</w:t>
      </w:r>
      <w:r>
        <w:t xml:space="preserve"> </w:t>
      </w:r>
      <w:r>
        <w:t xml:space="preserve">Addressing the high intake of local high-sugar beverages and refined carbs.</w:t>
      </w:r>
    </w:p>
    <w:p>
      <w:pPr>
        <w:numPr>
          <w:ilvl w:val="0"/>
          <w:numId w:val="1003"/>
        </w:numPr>
        <w:pStyle w:val="Compact"/>
      </w:pPr>
      <w:r>
        <w:rPr>
          <w:bCs/>
          <w:b/>
        </w:rPr>
        <w:t xml:space="preserve">Sedentary Behavior Mitigation:</w:t>
      </w:r>
      <w:r>
        <w:t xml:space="preserve">: Recommending structured exercise routines suitable for urban living.</w:t>
      </w:r>
    </w:p>
    <w:p>
      <w:pPr>
        <w:numPr>
          <w:ilvl w:val="0"/>
          <w:numId w:val="1003"/>
        </w:numPr>
        <w:pStyle w:val="Compact"/>
      </w:pPr>
      <w:r>
        <w:t xml:space="preserve">Referral Consideration:</w:t>
      </w:r>
      <w:r>
        <w:t xml:space="preserve">: If HbA1c confirms diabetes, a referral to an endocrinologist may be necessary, though many GPs in KL are well-equipped to manage stable cases.</w:t>
      </w:r>
    </w:p>
    <w:bookmarkEnd w:id="28"/>
    <w:bookmarkStart w:id="29" w:name="conclusion-and-follow-up-strategy"/>
    <w:p>
      <w:pPr>
        <w:pStyle w:val="Heading2"/>
      </w:pPr>
      <w:r>
        <w:t xml:space="preserve">6. Conclusion and Follow-Up Strategy</w:t>
      </w:r>
    </w:p>
    <w:p>
      <w:pPr>
        <w:pStyle w:val="FirstParagraph"/>
      </w:pPr>
      <w:r>
        <w:t xml:space="preserve">The integration of detailed laboratory data into the clinical workflow of a</w:t>
      </w:r>
      <w:r>
        <w:t xml:space="preserve"> </w:t>
      </w:r>
      <w:r>
        <w:rPr>
          <w:bCs/>
          <w:b/>
        </w:rPr>
        <w:t xml:space="preserve">Dotor General Practitioner</w:t>
      </w:r>
    </w:p>
    <w:p>
      <w:pPr>
        <w:pStyle w:val="BodyText"/>
      </w:pPr>
      <w:r>
        <w:t xml:space="preserve">The follow-up strategy involves re-evaluating the patient’s blood glucose and lipid levels in three months after implementing lifestyle changes. The</w:t>
      </w:r>
      <w:r>
        <w:t xml:space="preserve"> </w:t>
      </w:r>
      <w:r>
        <w:rPr>
          <w:bCs/>
          <w:b/>
        </w:rPr>
        <w:t xml:space="preserve">Doctor General Practitioner</w:t>
      </w:r>
      <w:r>
        <w:t xml:space="preserve"> </w:t>
      </w:r>
      <w:r>
        <w:t xml:space="preserve">should maintain open communication with the laboratory to clarify any anomalies or request additional specific tests if the clinical picture evolves.</w:t>
      </w:r>
    </w:p>
    <w:p>
      <w:pPr>
        <w:pStyle w:val="BodyText"/>
      </w:pPr>
      <w:r>
        <w:t xml:space="preserve">This document underscores that effective healthcare in</w:t>
      </w:r>
    </w:p>
    <w:p>
      <w:pPr>
        <w:pStyle w:val="BodyText"/>
      </w:pPr>
      <w:r>
        <w:t xml:space="preserve">Malaysia Kuala Lumpur relies not just on advanced medical technology, but on the clear, precise, and contextualized interpretation of data by primary care physicians. The synergy between lab science and general practice is vital for maintaining public health standards in this rapidly developing region.</w:t>
      </w:r>
    </w:p>
    <w:bookmarkEnd w:id="29"/>
    <w:p>
      <w:pPr>
        <w:pStyle w:val="BodyText"/>
      </w:pPr>
      <w:r>
        <w:rPr>
          <w:iCs/>
          <w:i/>
          <w:bCs/>
          <w:b/>
        </w:rPr>
        <w:t xml:space="preserve">Disclaimer:</w:t>
      </w:r>
      <w:r>
        <w:t xml:space="preserve"> </w:t>
      </w:r>
      <w:r>
        <w:t xml:space="preserve">This document is a sample template for educational and informational purposes only. It simulates a Lab Report used by a Doctor General Practitioner in Malaysia Kuala Lumpur. Actual medical diagnoses require direct consultation with qualified healthcare professionals and verification through licensed medical facilities. Data presented here are fictional.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for General Practitioner Consultation - Kuala Lumpur</dc:title>
  <dc:creator/>
  <dc:language>en</dc:language>
  <cp:keywords/>
  <dcterms:created xsi:type="dcterms:W3CDTF">2026-07-29T13:02:06Z</dcterms:created>
  <dcterms:modified xsi:type="dcterms:W3CDTF">2026-07-29T13:02:06Z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