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Report</w:t>
      </w:r>
      <w:r>
        <w:t xml:space="preserve"> </w:t>
      </w:r>
      <w:r>
        <w:t xml:space="preserve">for</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Myanmar</w:t>
      </w:r>
      <w:r>
        <w:t xml:space="preserve"> </w:t>
      </w:r>
      <w:r>
        <w:t xml:space="preserve">Yangon</w:t>
      </w:r>
    </w:p>
    <w:bookmarkStart w:id="20" w:name="X096122d62b1ce88372f07c1ed11c885d68a85a2"/>
    <w:p>
      <w:pPr>
        <w:pStyle w:val="Heading1"/>
      </w:pPr>
      <w:r>
        <w:t xml:space="preserve">Laboratory Diagnostic Report for Doctor General Practitioner</w:t>
      </w:r>
    </w:p>
    <w:p>
      <w:pPr>
        <w:pStyle w:val="FirstParagraph"/>
      </w:pPr>
      <w:r>
        <w:rPr>
          <w:bCs/>
          <w:b/>
        </w:rPr>
        <w:t xml:space="preserve">Patient Context:</w:t>
      </w:r>
      <w:r>
        <w:t xml:space="preserve"> </w:t>
      </w:r>
      <w:r>
        <w:t xml:space="preserve">Outpatient Consultation in Myanmar, Yangon</w:t>
      </w:r>
    </w:p>
    <w:p>
      <w:pPr>
        <w:pStyle w:val="BodyText"/>
      </w:pPr>
      <w:r>
        <w:rPr>
          <w:bCs/>
          <w:b/>
        </w:rPr>
        <w:t xml:space="preserve">Date of Issue:</w:t>
      </w:r>
      <w:r>
        <w:t xml:space="preserve"> </w:t>
      </w:r>
      <w:r>
        <w:t xml:space="preserve">May 24, 2024</w:t>
      </w:r>
    </w:p>
    <w:p>
      <w:pPr>
        <w:pStyle w:val="BodyText"/>
      </w:pPr>
      <w:r>
        <w:t xml:space="preserve">Reference Code: MY-YGN-GP-2024-8891</w:t>
      </w:r>
    </w:p>
    <w:bookmarkEnd w:id="20"/>
    <w:bookmarkStart w:id="21" w:name="X2fef7f8dd3b0ec582917b2694f3f80c94f14b52"/>
    <w:p>
      <w:pPr>
        <w:pStyle w:val="Heading3"/>
      </w:pPr>
      <w:r>
        <w:t xml:space="preserve">1. Executive Summary and Clinical Context in Myanmar, Yangon</w:t>
      </w:r>
    </w:p>
    <w:p>
      <w:pPr>
        <w:pStyle w:val="FirstParagraph"/>
      </w:pPr>
      <w:r>
        <w:t xml:space="preserve">This comprehensive laboratory report is designed specifically for the reviewing Doctor General Practitioner operating within the complex healthcare landscape of Myanmar, Yangon. As a primary care provider in this densely populated metropolitan area, your role requires rapid interpretation of diagnostic data to manage a wide spectrum of endemic and emerging infectious diseases. This document outlines critical diagnostic considerations relevant to patients presenting in Yangon clinics today.</w:t>
      </w:r>
    </w:p>
    <w:p>
      <w:pPr>
        <w:pStyle w:val="BodyText"/>
      </w:pPr>
      <w:r>
        <w:t xml:space="preserve">The medical environment in Myanmar presents unique challenges due to the prevalence of vector-borne illnesses such as Dengue Fever, Malaria, and Chikungunya, alongside rising rates of non-communicable diseases including hypertension and diabetes. For a Doctor General Practitioner based in Yangon, understanding the local epidemiological context is as vital as interpreting laboratory values. This report serves to bridge the gap between clinical presentation in a Yangon outpatient setting and precise diagnostic outcomes.</w:t>
      </w:r>
    </w:p>
    <w:bookmarkEnd w:id="21"/>
    <w:bookmarkStart w:id="22" w:name="Xb378f0ff000d041c08df3e55460c3ad8e1ef2bd"/>
    <w:p>
      <w:pPr>
        <w:pStyle w:val="Heading3"/>
      </w:pPr>
      <w:r>
        <w:t xml:space="preserve">2. Hematological Analysis: Suspected Dengue and Malaria</w:t>
      </w:r>
    </w:p>
    <w:p>
      <w:pPr>
        <w:pStyle w:val="FirstParagraph"/>
      </w:pPr>
      <w:r>
        <w:t xml:space="preserve">In the tropical climate of Myanmar, specifically during the monsoon season which affects much of Yangon, hematological parameters are critical initial markers for suspected arboviral infections.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Biomarker</w:t>
            </w:r>
          </w:p>
        </w:tc>
        <w:tc>
          <w:tcPr/>
          <w:p>
            <w:pPr>
              <w:pStyle w:val="Compact"/>
              <w:jc w:val="left"/>
            </w:pPr>
            <w:r>
              <w:rPr>
                <w:bCs/>
                <w:b/>
              </w:rPr>
              <w:t xml:space="preserve">Clinical Significance</w:t>
            </w:r>
          </w:p>
        </w:tc>
        <w:tc>
          <w:tcPr/>
          <w:p>
            <w:pPr>
              <w:pStyle w:val="Compact"/>
              <w:jc w:val="left"/>
            </w:pPr>
            <w:r>
              <w:rPr>
                <w:bCs/>
                <w:b/>
              </w:rPr>
              <w:t xml:space="preserve">Actionable Insight for Doctor General Practitioner</w:t>
            </w:r>
          </w:p>
        </w:tc>
      </w:tr>
      <w:tr>
        <w:tc>
          <w:tcPr/>
          <w:p>
            <w:pPr>
              <w:pStyle w:val="Compact"/>
              <w:jc w:val="left"/>
            </w:pPr>
            <w:r>
              <w:t xml:space="preserve">Hemoglobin (Hb)</w:t>
            </w:r>
          </w:p>
        </w:tc>
        <w:tc>
          <w:tcPr/>
          <w:p>
            <w:pPr>
              <w:pStyle w:val="Compact"/>
              <w:jc w:val="left"/>
            </w:pPr>
            <w:r>
              <w:t xml:space="preserve">Mild anemia is common in chronic malaria cases.</w:t>
            </w:r>
          </w:p>
        </w:tc>
        <w:tc>
          <w:tcPr/>
          <w:p>
            <w:pPr>
              <w:pStyle w:val="Compact"/>
              <w:jc w:val="left"/>
            </w:pPr>
            <w:r>
              <w:t xml:space="preserve">If Hb drops significantly below 11 g/dL without prior history, consider hemolytic events associated with severe Malaria or Dengue hemorrhage.</w:t>
            </w:r>
          </w:p>
        </w:tc>
      </w:tr>
      <w:tr>
        <w:tc>
          <w:tcPr/>
          <w:p>
            <w:pPr>
              <w:pStyle w:val="Compact"/>
              <w:jc w:val="left"/>
            </w:pPr>
            <w:r>
              <w:t xml:space="preserve">Total Leukocyte Count (TLC)</w:t>
            </w:r>
          </w:p>
        </w:tc>
        <w:tc>
          <w:tcPr/>
          <w:p>
            <w:pPr>
              <w:pStyle w:val="Compact"/>
              <w:jc w:val="left"/>
            </w:pPr>
            <w:r>
              <w:t xml:space="preserve">Lymphocytosis is typical in viral infections like Dengue.</w:t>
            </w:r>
          </w:p>
        </w:tc>
        <w:tc>
          <w:tcPr/>
          <w:p>
            <w:pPr>
              <w:pStyle w:val="Compact"/>
              <w:jc w:val="left"/>
            </w:pPr>
            <w:r>
              <w:t xml:space="preserve">A low TLC with lymphocyte predominance strongly suggests Dengue. A high TLC may indicate bacterial superinfection, common in secondary complications.</w:t>
            </w:r>
          </w:p>
        </w:tc>
      </w:tr>
      <w:tr>
        <w:tc>
          <w:tcPr/>
          <w:p>
            <w:pPr>
              <w:pStyle w:val="Compact"/>
              <w:jc w:val="left"/>
            </w:pPr>
            <w:r>
              <w:t xml:space="preserve">Platelet Count</w:t>
            </w:r>
          </w:p>
        </w:tc>
        <w:tc>
          <w:tcPr/>
          <w:p>
            <w:pPr>
              <w:pStyle w:val="Compact"/>
              <w:jc w:val="left"/>
            </w:pPr>
            <w:r>
              <w:t xml:space="preserve">Critical marker for Dengue severity.</w:t>
            </w:r>
          </w:p>
        </w:tc>
        <w:tc>
          <w:tcPr/>
          <w:p>
            <w:pPr>
              <w:pStyle w:val="Compact"/>
              <w:jc w:val="left"/>
            </w:pPr>
            <w:r>
              <w:t xml:space="preserve">In Yangon's context, a platelet count dropping below 100,000/mm³ requires immediate monitoring for Dengue Shock Syndrome. If below 50,00/mm³, hospitalization is often advised.</w:t>
            </w:r>
          </w:p>
        </w:tc>
      </w:tr>
    </w:tbl>
    <w:p>
      <w:pPr>
        <w:pStyle w:val="BodyText"/>
      </w:pPr>
      <w:r>
        <w:rPr>
          <w:bCs/>
          <w:b/>
        </w:rPr>
        <w:t xml:space="preserve">Rapid Diagnostic Tests (RDTs):</w:t>
      </w:r>
    </w:p>
    <w:p>
      <w:pPr>
        <w:pStyle w:val="BodyText"/>
      </w:pPr>
      <w:r>
        <w:t xml:space="preserve">The Doctor General Practitioner in Myanmar should prioritize Malaria RDTs (detecting HRP-2 or pLDH antigens) and Dengue NS1 antigen tests. In Yangon's urban clinics, time-to-result is crucial. Positive Malaria results necessitate immediate initiation of Artemisinin-based Combination Therapy (ACT), adhering to the national treatment guidelines of Myanmar.</w:t>
      </w:r>
    </w:p>
    <w:bookmarkEnd w:id="22"/>
    <w:bookmarkStart w:id="23" w:name="Xa64c02d52f2a5be2e30027c4ba60148d84bc9df"/>
    <w:p>
      <w:pPr>
        <w:pStyle w:val="Heading3"/>
      </w:pPr>
      <w:r>
        <w:t xml:space="preserve">3. Serological and Biochemical Markers: Tuberculosis and Liver Health</w:t>
      </w:r>
    </w:p>
    <w:p>
      <w:pPr>
        <w:pStyle w:val="FirstParagraph"/>
      </w:pPr>
      <w:r>
        <w:t xml:space="preserve">Tuberculosis (TB) remains a significant public health concern in Myanmar, including the Yangon region. Additionally, given the prevalence of alcohol consumption and dietary factors, liver function assessments are standard practice for adult consultations.</w:t>
      </w:r>
    </w:p>
    <w:p>
      <w:pPr>
        <w:pStyle w:val="BodyText"/>
      </w:pPr>
      <w:r>
        <w:rPr>
          <w:bCs/>
          <w:b/>
        </w:rPr>
        <w:t xml:space="preserve">Biomarker</w:t>
      </w:r>
    </w:p>
    <w:bookmarkEnd w:id="23"/>
    <w:p>
      <w:pPr>
        <w:pStyle w:val="BodyText"/>
      </w:pPr>
      <w:r>
        <w:rPr>
          <w:bCs/>
          <w:b/>
        </w:rPr>
        <w:t xml:space="preserve">Clinical Significance</w:t>
      </w:r>
    </w:p>
    <w:p>
      <w:pPr>
        <w:pStyle w:val="BodyText"/>
      </w:pPr>
      <w:r>
        <w:rPr>
          <w:bCs/>
          <w:b/>
        </w:rPr>
        <w:t xml:space="preserve">Actionable Insight for Doctor General Practitioner</w:t>
      </w:r>
    </w:p>
    <w:p>
      <w:pPr>
        <w:pStyle w:val="BodyText"/>
      </w:pPr>
      <w:r>
        <w:t xml:space="preserve">Amylase/Lipase</w:t>
      </w:r>
    </w:p>
    <w:p>
      <w:pPr>
        <w:pStyle w:val="BodyText"/>
      </w:pPr>
      <w:r>
        <w:t xml:space="preserve">Elevated levels may indicate pancreatitis.</w:t>
      </w:r>
    </w:p>
    <w:p>
      <w:pPr>
        <w:pStyle w:val="BodyText"/>
      </w:pPr>
      <w:r>
        <w:t xml:space="preserve">In cases of severe abdominal pain in Yangon patients, rule out gallstone issues or alcohol-induced pancreatitis before attributing pain to viral gastroenteritis.</w:t>
      </w:r>
    </w:p>
    <w:p>
      <w:pPr>
        <w:pStyle w:val="BodyText"/>
      </w:pPr>
      <w:r>
        <w:t xml:space="preserve">&lt;</w:t>
      </w:r>
    </w:p>
    <w:p>
      <w:pPr>
        <w:pStyle w:val="BodyText"/>
      </w:pPr>
      <w:r>
        <w:t xml:space="preserve">Chest X-Ray &amp; GeneXpert</w:t>
      </w:r>
    </w:p>
    <w:p>
      <w:pPr>
        <w:pStyle w:val="BodyText"/>
      </w:pPr>
      <w:r>
        <w:t xml:space="preserve">Gold standard for TB screening.</w:t>
      </w:r>
    </w:p>
    <w:p>
      <w:pPr>
        <w:pStyle w:val="BodyText"/>
      </w:pPr>
      <w:r>
        <w:t xml:space="preserve">If a chronic cough persists &gt;2 weeks, order GeneXpert MTB/RIF. This detects Mycobacterium tuberculosis and Rifampicin resistance simultaneously, crucial for efficient TB control in Myanmar.</w:t>
      </w:r>
    </w:p>
    <w:p>
      <w:pPr>
        <w:pStyle w:val="BodyText"/>
      </w:pPr>
      <w:r>
        <w:rPr>
          <w:bCs/>
          <w:b/>
        </w:rPr>
        <w:t xml:space="preserve">Liver Function Tests (LFTs):</w:t>
      </w:r>
    </w:p>
    <w:p>
      <w:pPr>
        <w:pStyle w:val="BodyText"/>
      </w:pPr>
      <w:r>
        <w:t xml:space="preserve">Elevated AST and ALT are frequently observed. However, the AST/ALT ratio is important. In alcoholic liver disease common in certain demographics of Yangon, the ratio often exceeds 2:1. In acute viral hepatitis (A or E), both enzymes rise sharply, but ALT is typically higher than AST.</w:t>
      </w:r>
    </w:p>
    <w:bookmarkStart w:id="24" w:name="X96eef25b26fb68be5d1ea8424b616cc7819c338"/>
    <w:p>
      <w:pPr>
        <w:pStyle w:val="Heading3"/>
      </w:pPr>
      <w:r>
        <w:t xml:space="preserve">4. Urinalysis and Infectious Disease Screening</w:t>
      </w:r>
    </w:p>
    <w:p>
      <w:pPr>
        <w:pStyle w:val="FirstParagraph"/>
      </w:pPr>
      <w:r>
        <w:t xml:space="preserve">In the humid environment of Myanmar Yangon, urinary tract infections (UTIs) and sexually transmitted infections (STIs) are prevalent. Furthermore, diabetes management is a core component of General Practitioner duties.</w:t>
      </w:r>
    </w:p>
    <w:p>
      <w:pPr>
        <w:numPr>
          <w:ilvl w:val="0"/>
          <w:numId w:val="1001"/>
        </w:numPr>
        <w:pStyle w:val="Compact"/>
      </w:pPr>
      <w:r>
        <w:rPr>
          <w:bCs/>
          <w:b/>
        </w:rPr>
        <w:t xml:space="preserve">Glycated Hemoglobin (HbA1c):</w:t>
      </w:r>
      <w:r>
        <w:t xml:space="preserve"> </w:t>
      </w:r>
      <w:r>
        <w:t xml:space="preserve">Essential for diagnosing Type 2 Diabetes, which has a high prevalence in Myanmar due to dietary shifts and genetic predisposition. Target levels should be individualized based on patient comorbidities.</w:t>
      </w:r>
    </w:p>
    <w:p>
      <w:pPr>
        <w:numPr>
          <w:ilvl w:val="0"/>
          <w:numId w:val="1001"/>
        </w:numPr>
        <w:pStyle w:val="Compact"/>
      </w:pPr>
      <w:r>
        <w:rPr>
          <w:bCs/>
          <w:b/>
        </w:rPr>
        <w:t xml:space="preserve">Urine Routine:</w:t>
      </w:r>
      <w:r>
        <w:t xml:space="preserve"> </w:t>
      </w:r>
      <w:r>
        <w:t xml:space="preserve">Look for leukocyte esterase and nitrites indicating UTIs. In diabetic patients, check for ketones, which may indicate diabetic ketoacidosis (DKA), a medical emergency requiring immediate referral to a Yangon tertiary hospital if glucose levels are critically high.</w:t>
      </w:r>
    </w:p>
    <w:p>
      <w:pPr>
        <w:numPr>
          <w:ilvl w:val="0"/>
          <w:numId w:val="1001"/>
        </w:numPr>
        <w:pStyle w:val="Compact"/>
      </w:pPr>
      <w:r>
        <w:rPr>
          <w:bCs/>
          <w:b/>
        </w:rPr>
        <w:t xml:space="preserve">Hepatitis B Surface Antigen (HBsAg):</w:t>
      </w:r>
      <w:r>
        <w:t xml:space="preserve"> </w:t>
      </w:r>
      <w:r>
        <w:t xml:space="preserve">Given the moderate prevalence of Hepatitis B in Myanmar, screening is recommended for unvaccinated adults presenting with fatigue or liver enzyme abnormalities.</w:t>
      </w:r>
    </w:p>
    <w:bookmarkEnd w:id="24"/>
    <w:bookmarkStart w:id="25" w:name="X150890770d48dc02121c5f9901ea0d030953465"/>
    <w:p>
      <w:pPr>
        <w:pStyle w:val="Heading3"/>
      </w:pPr>
      <w:r>
        <w:t xml:space="preserve">5. Reference Ranges Specific to Local Population</w:t>
      </w:r>
    </w:p>
    <w:p>
      <w:pPr>
        <w:pStyle w:val="FirstParagraph"/>
      </w:pPr>
      <w:r>
        <w:t xml:space="preserve">The Doctor General Practitioner must be aware that reference ranges provided by international laboratory standards may slightly differ from local populations due to genetic and environmental factors. For instance: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Test</w:t>
            </w:r>
          </w:p>
        </w:tc>
        <w:tc>
          <w:tcPr/>
          <w:p>
            <w:pPr>
              <w:pStyle w:val="Compact"/>
              <w:jc w:val="left"/>
            </w:pPr>
            <w:r>
              <w:rPr>
                <w:bCs/>
                <w:b/>
              </w:rPr>
              <w:t xml:space="preserve">Normal Range (General)</w:t>
            </w:r>
          </w:p>
        </w:tc>
        <w:tc>
          <w:tcPr/>
          <w:p>
            <w:pPr>
              <w:pStyle w:val="Compact"/>
              <w:jc w:val="left"/>
            </w:pPr>
            <w:r>
              <w:rPr>
                <w:bCs/>
                <w:b/>
              </w:rPr>
              <w:t xml:space="preserve">Note for Myanmar Context</w:t>
            </w:r>
          </w:p>
        </w:tc>
      </w:tr>
      <w:tr>
        <w:tc>
          <w:tcPr/>
          <w:p>
            <w:pPr>
              <w:pStyle w:val="Compact"/>
              <w:jc w:val="left"/>
            </w:pPr>
            <w:r>
              <w:t xml:space="preserve">Total Iron Binding Capacity (TIBC)</w:t>
            </w:r>
          </w:p>
        </w:tc>
        <w:tc>
          <w:tcPr>
            <w:gridSpan w:val="2"/>
          </w:tcPr>
          <w:p>
            <w:pPr>
              <w:pStyle w:val="Compact"/>
              <w:jc w:val="left"/>
            </w:pPr>
            <w:r>
              <w:t xml:space="preserve">Iron deficiency anemia is extremely common in rural and urban poor populations in Yangon. Ferritin levels are the most accurate indicator.</w:t>
            </w:r>
          </w:p>
        </w:tc>
      </w:tr>
      <w:tr>
        <w:tc>
          <w:tcPr/>
          <w:p>
            <w:pPr>
              <w:pStyle w:val="Compact"/>
              <w:jc w:val="left"/>
            </w:pPr>
            <w:r>
              <w:t xml:space="preserve">Vitamin B12</w:t>
            </w:r>
          </w:p>
        </w:tc>
        <w:tc>
          <w:tcPr>
            <w:gridSpan w:val="2"/>
          </w:tcPr>
          <w:p>
            <w:pPr>
              <w:pStyle w:val="Compact"/>
              <w:jc w:val="left"/>
            </w:pPr>
            <w:r>
              <w:t xml:space="preserve">Deficiency is often overlooked but contributes to neuropathy. Consider testing if peripheral neuropathy is present without diabetic history.</w:t>
            </w:r>
          </w:p>
        </w:tc>
      </w:tr>
    </w:tbl>
    <w:p>
      <w:pPr>
        <w:pStyle w:val="BodyText"/>
      </w:pPr>
      <w:r>
        <w:rPr>
          <w:bCs/>
          <w:b/>
        </w:rPr>
        <w:t xml:space="preserve">Potential Drug Interactions:</w:t>
      </w:r>
    </w:p>
    <w:p>
      <w:pPr>
        <w:pStyle w:val="BodyText"/>
      </w:pPr>
      <w:r>
        <w:t xml:space="preserve">The Doctor General Practitioner should consider the availability and usage of traditional Burmese medicines alongside Western pharmaceuticals. Some herbal preparations can alter liver enzyme levels, potentially skewing LFT results. A thorough history taking regarding herbal supplement use is mandatory.</w:t>
      </w:r>
    </w:p>
    <w:bookmarkEnd w:id="25"/>
    <w:bookmarkStart w:id="26" w:name="X4eaa85d7fe7e8d07e62d242efee26b1f48667d8"/>
    <w:p>
      <w:pPr>
        <w:pStyle w:val="Heading3"/>
      </w:pPr>
      <w:r>
        <w:t xml:space="preserve">6. Conclusion and Recommendations for Practice in Yangon</w:t>
      </w:r>
    </w:p>
    <w:p>
      <w:pPr>
        <w:pStyle w:val="FirstParagraph"/>
      </w:pPr>
      <w:r>
        <w:t xml:space="preserve">This Lab Report underscores the necessity of a tailored approach for the Doctor General Practitioner serving in Myanmar, Yangon. The convergence of infectious diseases (Dengue, Malaria, TB) with rising non-communicable diseases (Diabetes, Hypertension) creates a dual burden on primary care providers.</w:t>
      </w:r>
    </w:p>
    <w:p>
      <w:pPr>
        <w:pStyle w:val="BodyText"/>
      </w:pPr>
      <w:r>
        <w:rPr>
          <w:bCs/>
          <w:b/>
        </w:rPr>
        <w:t xml:space="preserve">Key Recommendations:</w:t>
      </w:r>
    </w:p>
    <w:p>
      <w:pPr>
        <w:numPr>
          <w:ilvl w:val="0"/>
          <w:numId w:val="1002"/>
        </w:numPr>
        <w:pStyle w:val="Compact"/>
      </w:pPr>
      <w:r>
        <w:rPr>
          <w:bCs/>
          <w:b/>
        </w:rPr>
        <w:t xml:space="preserve">Rapid Testing Availability:</w:t>
      </w:r>
      <w:r>
        <w:t xml:space="preserve"> </w:t>
      </w:r>
      <w:r>
        <w:t xml:space="preserve">Ensure clinics have access to RDTs for Dengue and Malaria to facilitate immediate triage during fever spikes.</w:t>
      </w:r>
    </w:p>
    <w:p>
      <w:pPr>
        <w:numPr>
          <w:ilvl w:val="0"/>
          <w:numId w:val="1002"/>
        </w:numPr>
        <w:pStyle w:val="Compact"/>
      </w:pPr>
      <w:r>
        <w:rPr>
          <w:bCs/>
          <w:b/>
        </w:rPr>
        <w:t xml:space="preserve">Hepatitis Screening Protocols:</w:t>
      </w:r>
      <w:r>
        <w:t xml:space="preserve"> </w:t>
      </w:r>
      <w:r>
        <w:t xml:space="preserve">Integrate basic liver function and Hepatitis B screening into routine physical examinations.</w:t>
      </w:r>
    </w:p>
    <w:p>
      <w:pPr>
        <w:numPr>
          <w:ilvl w:val="0"/>
          <w:numId w:val="1002"/>
        </w:numPr>
        <w:pStyle w:val="Compact"/>
      </w:pPr>
      <w:r>
        <w:rPr>
          <w:bCs/>
          <w:b/>
        </w:rPr>
        <w:t xml:space="preserve">Patient Education:</w:t>
      </w:r>
      <w:r>
        <w:t xml:space="preserve"> </w:t>
      </w:r>
      <w:r>
        <w:t xml:space="preserve">Educate patients in Yangon on water sanitation to prevent typhoid and cholera, which remain seasonal risks.</w:t>
      </w:r>
    </w:p>
    <w:p>
      <w:pPr>
        <w:numPr>
          <w:ilvl w:val="0"/>
          <w:numId w:val="1002"/>
        </w:numPr>
        <w:pStyle w:val="Compact"/>
      </w:pPr>
      <w:r>
        <w:rPr>
          <w:bCs/>
          <w:b/>
        </w:rPr>
        <w:t xml:space="preserve">Multidisciplinary Referral:</w:t>
      </w:r>
      <w:r>
        <w:t xml:space="preserve"> </w:t>
      </w:r>
      <w:r>
        <w:t xml:space="preserve">Establish clear referral pathways with specialized hospitals in Yangon (such as Yangon General Hospital or Shwe Taung) for complex cases requiring imaging or advanced genetic testing.</w:t>
      </w:r>
    </w:p>
    <w:p>
      <w:pPr>
        <w:pStyle w:val="FirstParagraph"/>
      </w:pPr>
      <w:r>
        <w:t xml:space="preserve">In conclusion, accurate interpretation of laboratory data within the specific socio-economic and epidemiological context of Myanmar is vital. The Doctor General Practitioner acts as the first line of defense; thus, their ability to link lab results with local disease patterns directly impacts patient survival rates and overall community health outcomes in Yangon.</w:t>
      </w:r>
    </w:p>
    <w:bookmarkEnd w:id="26"/>
    <w:p>
      <w:pPr>
        <w:pStyle w:val="BodyText"/>
      </w:pPr>
      <w:r>
        <w:rPr>
          <w:bCs/>
          <w:b/>
        </w:rPr>
        <w:t xml:space="preserve">Disclaimer:</w:t>
      </w:r>
      <w:r>
        <w:t xml:space="preserve"> </w:t>
      </w:r>
      <w:r>
        <w:t xml:space="preserve">This document is for educational and professional reference purposes for healthcare providers. Clinical decisions should always be made by the qualified Doctor General Practitioner based on individual patient assessment, local hospital protocols, and the most current medical guidelines available in Myanmar. Reference ranges may vary between different diagnostic laboratories in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Report for Doctor General Practitioner - Myanmar Yangon</dc:title>
  <dc:creator/>
  <dc:language>en</dc:language>
  <cp:keywords/>
  <dcterms:created xsi:type="dcterms:W3CDTF">2026-07-29T10:28:08Z</dcterms:created>
  <dcterms:modified xsi:type="dcterms:W3CDTF">2026-07-29T10:28:08Z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