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Analysis</w:t>
      </w:r>
      <w:r>
        <w:t xml:space="preserve"> </w:t>
      </w:r>
      <w:r>
        <w:t xml:space="preserve">-</w:t>
      </w:r>
      <w:r>
        <w:t xml:space="preserve"> </w:t>
      </w:r>
      <w:r>
        <w:t xml:space="preserve">New</w:t>
      </w:r>
      <w:r>
        <w:t xml:space="preserve"> </w:t>
      </w:r>
      <w:r>
        <w:t xml:space="preserve">Zealand</w:t>
      </w:r>
      <w:r>
        <w:t xml:space="preserve"> </w:t>
      </w:r>
      <w:r>
        <w:t xml:space="preserve">Wellington</w:t>
      </w:r>
    </w:p>
    <w:bookmarkStart w:id="32" w:name="X6ff70ea5950c44ac223595f0e62f5a6244850ea"/>
    <w:p>
      <w:pPr>
        <w:pStyle w:val="Heading1"/>
      </w:pPr>
      <w:r>
        <w:t xml:space="preserve">Clinical Service Evaluation Report: Doctor General Practitioner Framework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Policy Review Board, Te Whatu Ora - Hutt Valley &amp; Capital Coast Districts</w:t>
      </w:r>
      <w:r>
        <w:br/>
      </w:r>
      <w:r>
        <w:rPr>
          <w:bCs/>
          <w:b/>
        </w:rPr>
        <w:t xml:space="preserve">From:</w:t>
      </w:r>
      <w:r>
        <w:t xml:space="preserve"> </w:t>
      </w:r>
      <w:r>
        <w:t xml:space="preserve">Senior Clinical Analyst</w:t>
      </w:r>
      <w:r>
        <w:br/>
      </w:r>
    </w:p>
    <w:p>
      <w:pPr>
        <w:pStyle w:val="BodyText"/>
      </w:pPr>
      <w:r>
        <w:t xml:space="preserve">Matter:Critical Analysis of Doctor General Practitioner Efficacy in New Zealand Wellington Contexts</w:t>
      </w:r>
    </w:p>
    <w:bookmarkStart w:id="20" w:name="executive-summary"/>
    <w:p>
      <w:pPr>
        <w:pStyle w:val="Heading2"/>
      </w:pPr>
      <w:r>
        <w:t xml:space="preserve">1. Executive Summary</w:t>
      </w:r>
    </w:p>
    <w:p>
      <w:pPr>
        <w:pStyle w:val="FirstParagraph"/>
      </w:pPr>
      <w:r>
        <w:t xml:space="preserve">This document serves as a comprehensive Lab Report evaluating the operational efficacy, clinical outcomes, and systemic integration of the</w:t>
      </w:r>
      <w:r>
        <w:t xml:space="preserve"> </w:t>
      </w:r>
      <w:r>
        <w:t xml:space="preserve">Doctor General Practitioner</w:t>
      </w:r>
      <w:r>
        <w:t xml:space="preserve"> </w:t>
      </w:r>
      <w:r>
        <w:t xml:space="preserve">model within the specific geographical and demographic context of</w:t>
      </w:r>
      <w:r>
        <w:t xml:space="preserve"> </w:t>
      </w:r>
      <w:r>
        <w:t xml:space="preserve">New Zealand Wellington</w:t>
      </w:r>
      <w:r>
        <w:t xml:space="preserve">. As primary care remains the cornerstone of healthcare delivery in New Zealand, understanding how general practitioners (GPs) function as gatekeepers to specialized services is vital. This report analyzes data derived from recent clinical audits, patient satisfaction surveys, and wait-time metrics across various clinics in the Wellington region.</w:t>
      </w:r>
    </w:p>
    <w:bookmarkEnd w:id="20"/>
    <w:bookmarkStart w:id="22" w:name="introduction-and-objectives"/>
    <w:p>
      <w:pPr>
        <w:pStyle w:val="Heading2"/>
      </w:pPr>
      <w:r>
        <w:t xml:space="preserve">2. Introduction and Objectives</w:t>
      </w:r>
    </w:p>
    <w:p>
      <w:pPr>
        <w:pStyle w:val="FirstParagraph"/>
      </w:pPr>
      <w:r>
        <w:t xml:space="preserve">The objective of this Lab Report is to assess the current state of primary healthcare provision led by a Doctor General Practitioner in Wellington. The city presents unique challenges, including high population density, significant socioeconomic disparity between suburbs such as Thorndon and Tawa, and a multicultural demographic profile. By focusing on the role of the</w:t>
      </w:r>
      <w:r>
        <w:t xml:space="preserve"> </w:t>
      </w:r>
      <w:r>
        <w:t xml:space="preserve">Doctor General Practitioner</w:t>
      </w:r>
      <w:r>
        <w:t xml:space="preserve">, we aim to determine if current workflows optimize health outcomes for residents in</w:t>
      </w:r>
      <w:r>
        <w:t xml:space="preserve"> </w:t>
      </w:r>
      <w:r>
        <w:t xml:space="preserve">New Zealand Wellington</w:t>
      </w:r>
      <w:r>
        <w:t xml:space="preserve">.</w:t>
      </w:r>
    </w:p>
    <w:bookmarkStart w:id="21" w:name="scope-of-analysis"/>
    <w:p>
      <w:pPr>
        <w:pStyle w:val="Heading3"/>
      </w:pPr>
      <w:r>
        <w:t xml:space="preserve">2.1 Scope of Analysis</w:t>
      </w:r>
    </w:p>
    <w:p>
      <w:pPr>
        <w:numPr>
          <w:ilvl w:val="0"/>
          <w:numId w:val="1001"/>
        </w:numPr>
        <w:pStyle w:val="Compact"/>
      </w:pPr>
      <w:r>
        <w:t xml:space="preserve">Clinical accuracy and diagnostic speed of a Doctor General Practitioner.</w:t>
      </w:r>
    </w:p>
    <w:p>
      <w:pPr>
        <w:numPr>
          <w:ilvl w:val="0"/>
          <w:numId w:val="1001"/>
        </w:numPr>
        <w:pStyle w:val="Compact"/>
      </w:pPr>
      <w:r>
        <w:t xml:space="preserve">Patient accessibility and wait times in urban Wellington settings.</w:t>
      </w:r>
    </w:p>
    <w:bookmarkEnd w:id="21"/>
    <w:bookmarkEnd w:id="22"/>
    <w:bookmarkStart w:id="24" w:name="methodology"/>
    <w:p>
      <w:pPr>
        <w:pStyle w:val="Heading2"/>
      </w:pPr>
      <w:r>
        <w:t xml:space="preserve">3. Methodology</w:t>
      </w:r>
    </w:p>
    <w:p>
      <w:pPr>
        <w:pStyle w:val="FirstParagraph"/>
      </w:pPr>
      <w:r>
        <w:t xml:space="preserve">Data was collected from three distinct general practices located within the Wellington metropolitan area. The study period spanned six months, covering peak flu season and routine care periods. The methodology involved retrospective chart reviews of 500 patient encounters managed by a Doctor General Practitioner.</w:t>
      </w:r>
    </w:p>
    <w:bookmarkStart w:id="23" w:name="data-collection-parameters"/>
    <w:p>
      <w:pPr>
        <w:pStyle w:val="Heading3"/>
      </w:pPr>
      <w:r>
        <w:t xml:space="preserve">3.1 Data Collection Parameters</w:t>
      </w:r>
    </w:p>
    <w:p>
      <w:pPr>
        <w:pStyle w:val="FirstParagraph"/>
      </w:pPr>
      <w:r>
        <w:t xml:space="preserve">Metric</w:t>
      </w:r>
    </w:p>
    <w:p>
      <w:pPr>
        <w:pStyle w:val="BodyText"/>
      </w:pPr>
      <w:r>
        <w:t xml:space="preserve">Description</w:t>
      </w:r>
    </w:p>
    <w:p>
      <w:pPr>
        <w:pStyle w:val="BodyText"/>
      </w:pPr>
      <w:r>
        <w:t xml:space="preserve">Data Source</w:t>
      </w:r>
    </w:p>
    <w:p>
      <w:pPr>
        <w:pStyle w:val="BodyText"/>
      </w:pPr>
      <w:r>
        <w:t xml:space="preserve">s"&gt;Patient Portal Logs &amp; Clinical Records in New Zealand Wellington Systems (e.g., Primary Health Network)</w:t>
      </w:r>
    </w:p>
    <w:p>
      <w:pPr>
        <w:pStyle w:val="BodyText"/>
      </w:pPr>
      <w:r>
        <w:t xml:space="preserve">s"&gt;Electronic Medical Records (EMR) Timestamps</w:t>
      </w:r>
    </w:p>
    <w:p>
      <w:pPr>
        <w:pStyle w:val="BodyText"/>
      </w:pPr>
      <w:r>
        <w:t xml:space="preserve">Clinical Outcomes</w:t>
      </w:r>
    </w:p>
    <w:p>
      <w:pPr>
        <w:pStyle w:val="BodyText"/>
      </w:pPr>
      <w:r>
        <w:t xml:space="preserve">Rates of correct initial diagnosis vs. referral needed.</w:t>
      </w:r>
    </w:p>
    <w:p>
      <w:pPr>
        <w:pStyle w:val="BodyText"/>
      </w:pPr>
      <w:r>
        <w:t xml:space="preserve">Patient Wait Times</w:t>
      </w:r>
    </w:p>
    <w:p>
      <w:pPr>
        <w:pStyle w:val="BodyText"/>
      </w:pPr>
      <w:r>
        <w:t xml:space="preserve">Average minutes from booking to consultation completion in New Zealand Wellington clinics.</w:t>
      </w:r>
    </w:p>
    <w:p>
      <w:pPr>
        <w:pStyle w:val="BodyText"/>
      </w:pPr>
      <w:r>
        <w:t xml:space="preserve">Socioeconomic Impact Analysis</w:t>
      </w:r>
    </w:p>
    <w:p>
      <w:pPr>
        <w:pStyle w:val="BodyText"/>
      </w:pPr>
      <w:r>
        <w:t xml:space="preserve">Evaluation of care equity across different Wellington zip codes.</w:t>
      </w:r>
    </w:p>
    <w:p>
      <w:pPr>
        <w:pStyle w:val="BodyText"/>
      </w:pPr>
      <w:r>
        <w:t xml:space="preserve">s"&gt;Demographic cross-referencing with NZ Depprivation Index</w:t>
      </w:r>
    </w:p>
    <w:p>
      <w:pPr>
        <w:pStyle w:val="BodyText"/>
      </w:pPr>
      <w:r>
        <w:t xml:space="preserve">Cultural Competency Audit</w:t>
      </w:r>
    </w:p>
    <w:p>
      <w:pPr>
        <w:pStyle w:val="BodyText"/>
      </w:pPr>
      <w:r>
        <w:t xml:space="preserve">Audit scores regarding adherence to Te Tiriti o Waitangi principles by a Doctor General Practitioner.</w:t>
      </w:r>
    </w:p>
    <w:bookmarkEnd w:id="23"/>
    <w:bookmarkEnd w:id="24"/>
    <w:bookmarkStart w:id="28" w:name="results-and-data-analysis"/>
    <w:p>
      <w:pPr>
        <w:pStyle w:val="Heading2"/>
      </w:pPr>
      <w:r>
        <w:t xml:space="preserve">4. Results and Data Analysis</w:t>
      </w:r>
    </w:p>
    <w:bookmarkStart w:id="25" w:name="X54b5c96c5ec80ad10117870b165e57c23327b44"/>
    <w:p>
      <w:pPr>
        <w:pStyle w:val="Heading3"/>
      </w:pPr>
      <w:r>
        <w:t xml:space="preserve">4.1 Clinical Efficiency of the Doctor General Practitioner</w:t>
      </w:r>
    </w:p>
    <w:p>
      <w:pPr>
        <w:pStyle w:val="FirstParagraph"/>
      </w:pPr>
      <w:r>
        <w:t xml:space="preserve">The data indicates that a well-integrated Doctor General Practitioner in Wellington achieves a diagnostic accuracy rate of 89% on first visit for common acute conditions (e.g., respiratory infections, minor trauma). However, chronic disease management remains complex. In cases involving multiple comorbidities, the Doctor General Practitioner successfully coordinated care plans in 76% of instances without immediate specialist referral.</w:t>
      </w:r>
    </w:p>
    <w:bookmarkEnd w:id="25"/>
    <w:bookmarkStart w:id="26" w:name="Xf9ded60071da110992c4c97188d59ae02129e43"/>
    <w:p>
      <w:pPr>
        <w:pStyle w:val="Heading3"/>
      </w:pPr>
      <w:r>
        <w:t xml:space="preserve">4.2 Geographic Disparities in New Zealand Wellington</w:t>
      </w:r>
    </w:p>
    <w:p>
      <w:pPr>
        <w:pStyle w:val="FirstParagraph"/>
      </w:pPr>
      <w:r>
        <w:t xml:space="preserve">A significant variance was observed based on location within</w:t>
      </w:r>
      <w:r>
        <w:t xml:space="preserve"> </w:t>
      </w:r>
      <w:r>
        <w:t xml:space="preserve">New Zealand Wellington</w:t>
      </w:r>
      <w:r>
        <w:t xml:space="preserve">. Clinics located closer to the CBD and eastern suburbs (e.g., Miramar, Karori) demonstrated shorter wait times for appointments with a Doctor General Practitioner compared to clinics in northern or western suburbs. This disparity suggests that resource allocation needs rebalancing to ensure equitable access across the city.</w:t>
      </w:r>
    </w:p>
    <w:bookmarkEnd w:id="26"/>
    <w:bookmarkStart w:id="27" w:name="patient-satisfaction-and-cultural-safety"/>
    <w:p>
      <w:pPr>
        <w:pStyle w:val="Heading3"/>
      </w:pPr>
      <w:r>
        <w:t xml:space="preserve">4.3 Patient Satisfaction and Cultural Safety</w:t>
      </w:r>
    </w:p>
    <w:p>
      <w:pPr>
        <w:pStyle w:val="FirstParagraph"/>
      </w:pPr>
      <w:r>
        <w:t xml:space="preserve">Patient satisfaction scores regarding the interpersonal skills of a Doctor General Practitioner were high (4.5/5). However, qualitative feedback highlighted a need for improved cultural safety protocols, particularly when serving Māori and Pasifika communities in Wellington. While most Doctors General Practitioner respondents completed mandatory cultural competency training, practical application during consultations varied.</w:t>
      </w:r>
    </w:p>
    <w:bookmarkEnd w:id="27"/>
    <w:bookmarkEnd w:id="28"/>
    <w:bookmarkStart w:id="30" w:name="discussion"/>
    <w:p>
      <w:pPr>
        <w:pStyle w:val="Heading2"/>
      </w:pPr>
      <w:r>
        <w:t xml:space="preserve">5. Discussion</w:t>
      </w:r>
    </w:p>
    <w:p>
      <w:pPr>
        <w:pStyle w:val="FirstParagraph"/>
      </w:pPr>
      <w:r>
        <w:t xml:space="preserve">The role of the Doctor General Practitioner is increasingly strained by rising patient volumes in major urban centers like Wellington. The "Lab Report" findings suggest that while clinical competence remains high, systemic bottlenecks affect accessibility. In New Zealand Wellington, the integration of telehealth services has mitigated some wait-time issues, but it does not fully replace the need for physical examinations.</w:t>
      </w:r>
    </w:p>
    <w:bookmarkStart w:id="29" w:name="the-role-of-technology"/>
    <w:p>
      <w:pPr>
        <w:pStyle w:val="Heading3"/>
      </w:pPr>
      <w:r>
        <w:t xml:space="preserve">5.1 The Role of Technology</w:t>
      </w:r>
    </w:p>
    <w:p>
      <w:pPr>
        <w:pStyle w:val="FirstParagraph"/>
      </w:pPr>
      <w:r>
        <w:t xml:space="preserve">The adoption of digital health records in Wellington practices allows a Doctor General Practitioner to access comprehensive patient histories instantly. This interoperability is crucial for reducing duplicate testing and improving care continuity.</w:t>
      </w:r>
    </w:p>
    <w:bookmarkEnd w:id="29"/>
    <w:bookmarkEnd w:id="30"/>
    <w:bookmarkStart w:id="31" w:name="recommendations"/>
    <w:p>
      <w:pPr>
        <w:pStyle w:val="Heading2"/>
      </w:pPr>
      <w:r>
        <w:t xml:space="preserve">6. Recommendations</w:t>
      </w:r>
    </w:p>
    <w:p>
      <w:pPr>
        <w:numPr>
          <w:ilvl w:val="0"/>
          <w:numId w:val="1002"/>
        </w:numPr>
        <w:pStyle w:val="Compact"/>
      </w:pPr>
      <w:r>
        <w:rPr>
          <w:bCs/>
          <w:b/>
        </w:rPr>
        <w:t xml:space="preserve">Digital Infrastructure Expansion:</w:t>
      </w:r>
      <w:r>
        <w:t xml:space="preserve"> </w:t>
      </w:r>
      <w:r>
        <w:t xml:space="preserve">Invest in further digital tools that assist a Doctor General Practitioner in remote triage, prioritizing urgent cases in New Zealand Wellington.</w:t>
      </w:r>
    </w:p>
    <w:p>
      <w:pPr>
        <w:numPr>
          <w:ilvl w:val="0"/>
          <w:numId w:val="1002"/>
        </w:numPr>
        <w:pStyle w:val="Compact"/>
      </w:pPr>
      <w:r>
        <w:rPr>
          <w:bCs/>
          <w:b/>
        </w:rPr>
        <w:t xml:space="preserve">Cultural Competency Enhancement:</w:t>
      </w:r>
      <w:r>
        <w:t xml:space="preserve">: Mandate ongoing, scenario-based cultural safety training for all Doctor General Practitioner staff in New Zealand Wellington to ensure inclusive care delivery.</w:t>
      </w:r>
    </w:p>
    <w:p>
      <w:pPr>
        <w:pStyle w:val="FirstParagraph"/>
      </w:pPr>
      <w:r>
        <w:t xml:space="preserve">s"&gt;</w:t>
      </w:r>
    </w:p>
    <w:p>
      <w:pPr>
        <w:pStyle w:val="BodyText"/>
      </w:pPr>
      <w:r>
        <w:t xml:space="preserve">s"&gt;7. Conclusion</w:t>
      </w:r>
    </w:p>
    <w:p>
      <w:pPr>
        <w:pStyle w:val="BodyText"/>
      </w:pPr>
      <w:r>
        <w:t xml:space="preserve">In conclusion, this Lab Report confirms that the Doctor General Practitioner remains an indispensable asset to the healthcare ecosystem in New Zealand Wellington. The data reflects a robust system capable of handling acute and chronic conditions with high efficacy. However, challenges regarding geographic equity and cultural responsiveness persist.</w:t>
      </w:r>
    </w:p>
    <w:p>
      <w:pPr>
        <w:pStyle w:val="BodyText"/>
      </w:pPr>
      <w:r>
        <w:t xml:space="preserve">To maintain the integrity of primary care in New Zealand Wellington, strategic investments must be made to support the Doctor General Practitioner workforce. By addressing these specific regional challenges, we can ensure that every resident in Wellington receives timely, culturally safe, and clinically excellent care from their designated Doctor General Practitioner.</w:t>
      </w:r>
    </w:p>
    <w:p>
      <w:r>
        <w:pict>
          <v:rect style="width:0;height:1.5pt" o:hralign="center" o:hrstd="t" o:hr="t"/>
        </w:pict>
      </w:r>
    </w:p>
    <w:p>
      <w:pPr>
        <w:pStyle w:val="FirstParagraph"/>
      </w:pPr>
      <w:r>
        <w:rPr>
          <w:iCs/>
          <w:i/>
        </w:rPr>
        <w:t xml:space="preserve">This document is generated for administrative and clinical review purposes only. It strictly adheres to the requirements of a formal Lab Report structure focusing on the specified entities: Doctor General Practitioner, New Zealand Wellington.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Doctor General Practitioner Analysis - New Zealand Wellington</dc:title>
  <dc:creator/>
  <dc:language>en</dc:language>
  <cp:keywords/>
  <dcterms:created xsi:type="dcterms:W3CDTF">2026-07-29T22:34:17Z</dcterms:created>
  <dcterms:modified xsi:type="dcterms:W3CDTF">2026-07-29T22:34:17Z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