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Assessment</w:t>
      </w:r>
      <w:r>
        <w:t xml:space="preserve"> </w:t>
      </w:r>
      <w:r>
        <w:t xml:space="preserve">Report:</w:t>
      </w:r>
      <w:r>
        <w:t xml:space="preserve"> </w:t>
      </w:r>
      <w:r>
        <w:t xml:space="preserve">Primary</w:t>
      </w:r>
      <w:r>
        <w:t xml:space="preserve"> </w:t>
      </w:r>
      <w:r>
        <w:t xml:space="preserve">Care</w:t>
      </w:r>
      <w:r>
        <w:t xml:space="preserve"> </w:t>
      </w:r>
      <w:r>
        <w:t xml:space="preserve">Integration</w:t>
      </w:r>
      <w:r>
        <w:t xml:space="preserve"> </w:t>
      </w:r>
      <w:r>
        <w:t xml:space="preserve">in</w:t>
      </w:r>
      <w:r>
        <w:t xml:space="preserve"> </w:t>
      </w:r>
      <w:r>
        <w:t xml:space="preserve">Qatar</w:t>
      </w:r>
    </w:p>
    <w:bookmarkStart w:id="27" w:name="X9d275c0544202f8a599010f8b1bc01436c536c5"/>
    <w:p>
      <w:pPr>
        <w:pStyle w:val="Heading1"/>
      </w:pPr>
      <w:r>
        <w:t xml:space="preserve">Laboratory Diagnostic Assessment and Clinical Pathway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Ministry of Public Health (MOPH) Reference Center</w:t>
      </w:r>
      <w:r>
        <w:br/>
      </w:r>
      <w:r>
        <w:rPr>
          <w:bCs/>
          <w:b/>
        </w:rPr>
        <w:t xml:space="preserve">Patient ID:</w:t>
      </w:r>
      <w:r>
        <w:t xml:space="preserve"> </w:t>
      </w:r>
      <w:r>
        <w:t xml:space="preserve">QATA-9981-XJ</w:t>
      </w:r>
      <w:r>
        <w:br/>
      </w:r>
      <w:r>
        <w:rPr>
          <w:bCs/>
          <w:b/>
        </w:rPr>
        <w:t xml:space="preserve">Doctor General Practitioner</w:t>
      </w:r>
      <w:r>
        <w:br/>
      </w:r>
      <w:r>
        <w:rPr>
          <w:bCs/>
          <w:b/>
        </w:rPr>
        <w:t xml:space="preserve">Laboratory Section:</w:t>
      </w:r>
      <w:r>
        <w:t xml:space="preserve"> </w:t>
      </w:r>
      <w:r>
        <w:t xml:space="preserve">Clinical Chemistry &amp; Microbiology</w:t>
      </w:r>
      <w:r>
        <w:br/>
      </w:r>
      <w:r>
        <w:rPr>
          <w:bCs/>
          <w:b/>
        </w:rPr>
        <w:t xml:space="preserve">Location:</w:t>
      </w:r>
      <w:r>
        <w:t xml:space="preserve"> </w:t>
      </w:r>
      <w:r>
        <w:t xml:space="preserve">Doha, Qatar</w:t>
      </w:r>
    </w:p>
    <w:bookmarkStart w:id="20" w:name="introduction-and-scope"/>
    <w:p>
      <w:pPr>
        <w:pStyle w:val="Heading2"/>
      </w:pPr>
      <w:r>
        <w:t xml:space="preserve">1. Introduction and Scope</w:t>
      </w:r>
    </w:p>
    <w:p>
      <w:pPr>
        <w:pStyle w:val="FirstParagraph"/>
      </w:pPr>
      <w:r>
        <w:t xml:space="preserve">This document serves as a comprehensive Lab Report detailing the diagnostic procedures, laboratory findings, and clinical recommendations associated with primary care interventions in the Republic of Qatar. The primary objective of this report is to illustrate the critical interface between community-based healthcare providers and specialized diagnostic laboratories within the context of Doha’s modern healthcare infrastructure. As Qatar continues to advance its Vision 2030 health goals, ensuring seamless integration between every Doctor General Practitioner and high-standard laboratory facilities is paramount for early disease detection, chronic condition management, and overall public health improvement.</w:t>
      </w:r>
    </w:p>
    <w:p>
      <w:pPr>
        <w:pStyle w:val="BodyText"/>
      </w:pPr>
      <w:r>
        <w:t xml:space="preserve">The specific focus of this assessment is the workflow efficiency, accuracy of diagnostic markers, and the subsequent clinical decision-making process facilitated by accurate laboratory data. This report highlights how local standards in Doha align with international best practices to ensure patient safety and diagnostic precision.</w:t>
      </w:r>
    </w:p>
    <w:bookmarkEnd w:id="20"/>
    <w:bookmarkStart w:id="21" w:name="patient-history-and-clinical-indications"/>
    <w:p>
      <w:pPr>
        <w:pStyle w:val="Heading2"/>
      </w:pPr>
      <w:r>
        <w:t xml:space="preserve">2. Patient History and Clinical Indications</w:t>
      </w:r>
    </w:p>
    <w:p>
      <w:pPr>
        <w:pStyle w:val="FirstParagraph"/>
      </w:pPr>
      <w:r>
        <w:rPr>
          <w:bCs/>
          <w:b/>
        </w:rPr>
        <w:t xml:space="preserve">Clinical Presentation:</w:t>
      </w:r>
      <w:r>
        <w:t xml:space="preserve">The patient, a 45-year-old male resident of Doha, presented to the primary care clinic with complaints of persistent fatigue, polyuria (excessive urination), and unexplained weight loss over the past three weeks. Given the rising prevalence of Type 2 Diabetes Mellitus in Qatar due to lifestyle factors and genetic predispositions, these symptoms prompted an immediate referral for comprehensive metabolic screening.</w:t>
      </w:r>
    </w:p>
    <w:p>
      <w:pPr>
        <w:pStyle w:val="BodyText"/>
      </w:pPr>
      <w:r>
        <w:rPr>
          <w:bCs/>
          <w:b/>
        </w:rPr>
        <w:t xml:space="preserve">Referral Context:</w:t>
      </w:r>
      <w:r>
        <w:t xml:space="preserve">The referring Doctor General Practitioner (GP) initiated this investigation based on standard primary care guidelines established by the MOPH. The GP’s role is pivotal in identifying red-flag symptoms that require secondary or tertiary investigation. In this instance, the initial physical examination revealed no acute distress, but a family history of diabetes necessitated a thorough biochemical evaluation.</w:t>
      </w:r>
    </w:p>
    <w:p>
      <w:pPr>
        <w:pStyle w:val="BodyText"/>
      </w:pPr>
      <w:r>
        <w:rPr>
          <w:bCs/>
          <w:b/>
        </w:rPr>
        <w:t xml:space="preserve">Purpose of Laboratory Testing:</w:t>
      </w:r>
      <w:r>
        <w:t xml:space="preserve">The primary goals were to assess glycemic control, evaluate renal function, and screen for lipid abnormalities. The specific tests ordered included Fasting Plasma Glucose (FPG), Hemoglobin A1c (HbA1c), Comprehensive Metabolic Panel (CMP), and a Lipid Profile.</w:t>
      </w:r>
    </w:p>
    <w:bookmarkEnd w:id="21"/>
    <w:bookmarkStart w:id="22" w:name="laboratory-methodology-and-procedures"/>
    <w:p>
      <w:pPr>
        <w:pStyle w:val="Heading2"/>
      </w:pPr>
      <w:r>
        <w:t xml:space="preserve">3. Laboratory Methodology and Procedures</w:t>
      </w:r>
    </w:p>
    <w:p>
      <w:pPr>
        <w:pStyle w:val="FirstParagraph"/>
      </w:pPr>
      <w:r>
        <w:t xml:space="preserve">All specimens were collected at the local primary healthcare center in Doha and transported under controlled temperature conditions to the central laboratory. The laboratory adheres strictly to ISO 15189 accreditation standards, ensuring quality control in every step of the process.</w:t>
      </w:r>
    </w:p>
    <w:p>
      <w:pPr>
        <w:numPr>
          <w:ilvl w:val="0"/>
          <w:numId w:val="1001"/>
        </w:numPr>
        <w:pStyle w:val="Compact"/>
      </w:pPr>
      <w:r>
        <w:rPr>
          <w:bCs/>
          <w:b/>
        </w:rPr>
        <w:t xml:space="preserve">Biochemical Analysis:</w:t>
      </w:r>
      <w:r>
        <w:t xml:space="preserve"> </w:t>
      </w:r>
      <w:r>
        <w:t xml:space="preserve">Enzymatic colorimetric methods were employed for glucose and lipid analysis. HbA1c was measured using High-Performance Liquid Chromatography (HPLC), a method considered the gold standard for long-term glycemic monitoring.</w:t>
      </w:r>
    </w:p>
    <w:p>
      <w:pPr>
        <w:numPr>
          <w:ilvl w:val="0"/>
          <w:numId w:val="1001"/>
        </w:numPr>
        <w:pStyle w:val="Compact"/>
      </w:pPr>
      <w:r>
        <w:rPr>
          <w:bCs/>
          <w:b/>
        </w:rPr>
        <w:t xml:space="preserve">Quality Assurance:</w:t>
      </w:r>
      <w:r>
        <w:t xml:space="preserve"> </w:t>
      </w:r>
      <w:r>
        <w:t xml:space="preserve">Internal quality control materials were run daily to verify instrument calibration. External Quality Assurance Schemes (EQAS) participated by the laboratory ensure comparability of results with other facilities across Qatar and internationally.</w:t>
      </w:r>
    </w:p>
    <w:p>
      <w:pPr>
        <w:numPr>
          <w:ilvl w:val="0"/>
          <w:numId w:val="1001"/>
        </w:numPr>
        <w:pStyle w:val="Compact"/>
      </w:pPr>
      <w:r>
        <w:rPr>
          <w:bCs/>
          <w:b/>
        </w:rPr>
        <w:t xml:space="preserve">Data Management:</w:t>
      </w:r>
      <w:r>
        <w:t xml:space="preserve">All results are electronically integrated into the Electronic Medical Record (EMR) system used by healthcare providers in Doha, allowing the Doctor General Practitioner to view results in real-time for immediate clinical action.</w:t>
      </w:r>
    </w:p>
    <w:bookmarkEnd w:id="22"/>
    <w:bookmarkStart w:id="23" w:name="results-and-interpretation"/>
    <w:p>
      <w:pPr>
        <w:pStyle w:val="Heading2"/>
      </w:pPr>
      <w:r>
        <w:t xml:space="preserve">4. Results and Interpretation</w:t>
      </w:r>
    </w:p>
    <w:p>
      <w:pPr>
        <w:pStyle w:val="FirstParagraph"/>
      </w:pPr>
      <w:r>
        <w:t xml:space="preserve">The following table summarizes the key laboratory findings: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Test Parameter</w:t>
            </w:r>
          </w:p>
        </w:tc>
        <w:tc>
          <w:tcPr/>
          <w:p>
            <w:pPr>
              <w:pStyle w:val="Compact"/>
              <w:jc w:val="left"/>
            </w:pPr>
            <w:r>
              <w:rPr>
                <w:bCs/>
                <w:b/>
              </w:rPr>
              <w:t xml:space="preserve">Result</w:t>
            </w:r>
          </w:p>
        </w:tc>
        <w:tc>
          <w:tcPr/>
          <w:p>
            <w:pPr>
              <w:pStyle w:val="Compact"/>
              <w:jc w:val="left"/>
            </w:pPr>
            <w:r>
              <w:t xml:space="preserve">Critical Value (CV)</w:t>
            </w:r>
          </w:p>
        </w:tc>
      </w:tr>
    </w:tbl>
    <w:p>
      <w:pPr>
        <w:pStyle w:val="BodyText"/>
      </w:pPr>
      <w:r>
        <w:rPr>
          <w:bCs/>
          <w:b/>
        </w:rPr>
        <w:t xml:space="preserve">Test Parameter</w:t>
      </w:r>
    </w:p>
    <w:bookmarkEnd w:id="23"/>
    <w:p>
      <w:pPr>
        <w:pStyle w:val="BodyText"/>
      </w:pPr>
      <w:r>
        <w:rPr>
          <w:bCs/>
          <w:b/>
        </w:rPr>
        <w:t xml:space="preserve">Result</w:t>
      </w:r>
    </w:p>
    <w:p>
      <w:pPr>
        <w:pStyle w:val="BodyText"/>
      </w:pPr>
      <w:r>
        <w:t xml:space="preserve">Critical Value (CV)</w:t>
      </w:r>
    </w:p>
    <w:p>
      <w:pPr>
        <w:pStyle w:val="BodyText"/>
      </w:pPr>
      <w:r>
        <w:rPr>
          <w:bCs/>
          <w:b/>
        </w:rPr>
        <w:t xml:space="preserve">Test Parameter</w:t>
      </w:r>
    </w:p>
    <w:p>
      <w:pPr>
        <w:pStyle w:val="BodyText"/>
      </w:pPr>
      <w:r>
        <w:rPr>
          <w:bCs/>
          <w:b/>
        </w:rPr>
        <w:t xml:space="preserve">Result</w:t>
      </w:r>
    </w:p>
    <w:p>
      <w:pPr>
        <w:pStyle w:val="BodyText"/>
      </w:pPr>
      <w:r>
        <w:rPr>
          <w:bCs/>
          <w:b/>
        </w:rPr>
        <w:t xml:space="preserve">Test Parameter</w:t>
      </w:r>
    </w:p>
    <w:p>
      <w:pPr>
        <w:pStyle w:val="BodyText"/>
      </w:pPr>
      <w:r>
        <w:t xml:space="preserve">&lt; th &gt;&lt; strong &gt; Result</w:t>
      </w:r>
    </w:p>
    <w:p>
      <w:pPr>
        <w:pStyle w:val="BodyText"/>
      </w:pPr>
      <w:r>
        <w:rPr>
          <w:bCs/>
          <w:b/>
        </w:rPr>
        <w:t xml:space="preserve">Fasting Plasma Glucose:</w:t>
      </w:r>
      <w:r>
        <w:t xml:space="preserve"> </w:t>
      </w:r>
      <w:r>
        <w:t xml:space="preserve">145 mg/dL (Reference: 70-99 mg/dL) — Elevated</w:t>
      </w:r>
    </w:p>
    <w:p>
      <w:pPr>
        <w:pStyle w:val="BodyText"/>
      </w:pPr>
      <w:r>
        <w:rPr>
          <w:bCs/>
          <w:b/>
        </w:rPr>
        <w:t xml:space="preserve">Hemoglobin A1c:</w:t>
      </w:r>
      <w:r>
        <w:t xml:space="preserve"> </w:t>
      </w:r>
      <w:r>
        <w:t xml:space="preserve">7.8% (Reference: &lt;5.7%) — Elevated</w:t>
      </w:r>
    </w:p>
    <w:p>
      <w:pPr>
        <w:pStyle w:val="BodyText"/>
      </w:pPr>
      <w:r>
        <w:rPr>
          <w:bCs/>
          <w:b/>
        </w:rPr>
        <w:t xml:space="preserve">Total Cholesterol:</w:t>
      </w:r>
      <w:r>
        <w:t xml:space="preserve"> </w:t>
      </w:r>
      <w:r>
        <w:t xml:space="preserve">210 mg/dL (Reference: &lt;200 mg/dL) — Borderline High</w:t>
      </w:r>
    </w:p>
    <w:p>
      <w:pPr>
        <w:pStyle w:val="BodyText"/>
      </w:pPr>
      <w:r>
        <w:rPr>
          <w:bCs/>
          <w:b/>
        </w:rPr>
        <w:t xml:space="preserve">LDL Cholesterol:</w:t>
      </w:r>
      <w:r>
        <w:t xml:space="preserve"> </w:t>
      </w:r>
      <w:r>
        <w:t xml:space="preserve">135 mg/dL (Reference: &lt;100 mg/dL) — Elevated</w:t>
      </w:r>
    </w:p>
    <w:p>
      <w:pPr>
        <w:pStyle w:val="BodyText"/>
      </w:pPr>
      <w:r>
        <w:rPr>
          <w:bCs/>
          <w:b/>
        </w:rPr>
        <w:t xml:space="preserve">HDL Cholesterol:</w:t>
      </w:r>
      <w:r>
        <w:t xml:space="preserve"> </w:t>
      </w:r>
      <w:r>
        <w:t xml:space="preserve">40 mg/dL (Reference: &gt;40 mg/dL) — Low-Normal</w:t>
      </w:r>
    </w:p>
    <w:p>
      <w:pPr>
        <w:pStyle w:val="BodyText"/>
      </w:pPr>
      <w:r>
        <w:rPr>
          <w:bCs/>
          <w:b/>
        </w:rPr>
        <w:t xml:space="preserve">Creatinine: 1.2 mg/dl (Ref : 0.7 -1 .3mg / dl ) — Normal</w:t>
      </w:r>
    </w:p>
    <w:bookmarkStart w:id="24" w:name="interpretation"/>
    <w:p>
      <w:pPr>
        <w:pStyle w:val="Heading3"/>
      </w:pPr>
      <w:r>
        <w:t xml:space="preserve">Interpretation:</w:t>
      </w:r>
    </w:p>
    <w:p>
      <w:pPr>
        <w:pStyle w:val="FirstParagraph"/>
      </w:pPr>
      <w:r>
        <w:t xml:space="preserve">The laboratory data strongly indicates a diagnosis of Type 2 Diabetes Mellitus with associated dyslipidemia. The HbA1c level of 7.8% confirms poor glycemic control over the preceding three months. The elevated LDL cholesterol suggests an increased risk for cardiovascular disease, a significant concern in the Qatari population.</w:t>
      </w:r>
    </w:p>
    <w:bookmarkEnd w:id="24"/>
    <w:bookmarkStart w:id="25" w:name="Xe1762623850d9753fb5c5ada99d043454b57680"/>
    <w:p>
      <w:pPr>
        <w:pStyle w:val="Heading2"/>
      </w:pPr>
      <w:r>
        <w:t xml:space="preserve">5. Clinical Correlation and Doctor General Practitioner Recommendations</w:t>
      </w:r>
    </w:p>
    <w:p>
      <w:pPr>
        <w:pStyle w:val="FirstParagraph"/>
      </w:pPr>
      <w:r>
        <w:t xml:space="preserve">The accurate interpretation of these lab results is the primary responsibility of the treating Doctor General Practitioner. Upon receiving these findings, the GP must correlate them with the patient’s clinical history and physical examination.</w:t>
      </w:r>
    </w:p>
    <w:p>
      <w:pPr>
        <w:pStyle w:val="BodyText"/>
      </w:pPr>
      <w:r>
        <w:rPr>
          <w:bCs/>
          <w:b/>
        </w:rPr>
        <w:t xml:space="preserve">Immediate Actions:</w:t>
      </w:r>
    </w:p>
    <w:p>
      <w:pPr>
        <w:pStyle w:val="BodyText"/>
      </w:pPr>
      <w:r>
        <w:t xml:space="preserve">Patient Education: The Doctor General Practitioner conducted a detailed counseling session regarding lifestyle modifications. This included dietary changes low in refined carbohydrates and saturated fats, emphasizing traditional Qatari dietary adjustments to reduce sugar intake while maintaining cultural food preferences.</w:t>
      </w:r>
    </w:p>
    <w:p>
      <w:pPr>
        <w:pStyle w:val="BodyText"/>
      </w:pPr>
      <w:r>
        <w:rPr>
          <w:bCs/>
          <w:b/>
        </w:rPr>
        <w:t xml:space="preserve">Pharmacological Intervention: Based on current clinical guidelines for diabetes management in Qatar, the Doctor General Practitioner initiated Metformin therapy as the first-line treatment. The dosage was titrated gradually to minimize gastrointestinal side effects.</w:t>
      </w:r>
    </w:p>
    <w:p>
      <w:pPr>
        <w:pStyle w:val="BodyText"/>
      </w:pPr>
      <w:r>
        <w:t xml:space="preserve">Monitoring Plan: A follow-up appointment is scheduled for 3 months to reassess HbA1c levels and lipid profiles. Additionally, annual screening for diabetic complications (retinopathy, nephropathy, and neuropathy) was initiated.</w:t>
      </w:r>
    </w:p>
    <w:bookmarkEnd w:id="25"/>
    <w:bookmarkStart w:id="26" w:name="conclusion"/>
    <w:p>
      <w:pPr>
        <w:pStyle w:val="Heading2"/>
      </w:pPr>
      <w:r>
        <w:t xml:space="preserve">6. Conclusion</w:t>
      </w:r>
    </w:p>
    <w:p>
      <w:pPr>
        <w:pStyle w:val="FirstParagraph"/>
      </w:pPr>
      <w:r>
        <w:t xml:space="preserve">This Lab Report underscores the vital role of laboratory diagnostics in supporting the primary care framework within Doha. The synergy between precise laboratory analysis and the clinical judgment of a Doctor General Practitioner ensures that patients like this 45-year-old male receive timely and effective treatment. In Qatar, where non-communicable diseases pose a significant burden on healthcare resources, such integrated care models are essential for sustainable health outcomes.</w:t>
      </w:r>
    </w:p>
    <w:p>
      <w:pPr>
        <w:pStyle w:val="BodyText"/>
      </w:pPr>
      <w:r>
        <w:t xml:space="preserve">The data confirms the diagnosis of Type 2 Diabetes and highlights the need for multidisciplinary management involving nutritionists, educators, and specialists if necessary. The continued improvement of laboratory infrastructure in Doha allows for faster turnaround times and more advanced testing capabilities, empowering Doctor General Practitioners to make evidence-based decisions that improve patient quality of life.</w:t>
      </w:r>
    </w:p>
    <w:p>
      <w:pPr>
        <w:pStyle w:val="BodyText"/>
      </w:pPr>
      <w:r>
        <w:t xml:space="preserve">Future efforts should focus on enhancing telemedicine integration between laboratories and primary care centers in Qatar, further streamlining the diagnostic-to-treatment pathway for residents across Doha.</w:t>
      </w:r>
    </w:p>
    <w:bookmarkEnd w:id="26"/>
    <w:p>
      <w:pPr>
        <w:pStyle w:val="BodyText"/>
      </w:pPr>
      <w:r>
        <w:rPr>
          <w:bCs/>
          <w:b/>
        </w:rPr>
        <w:t xml:space="preserve">Laboratory Director Signature:</w:t>
      </w:r>
      <w:r>
        <w:t xml:space="preserve"> </w:t>
      </w:r>
      <w:r>
        <w:t xml:space="preserve">Dr. A. Al-Thani</w:t>
      </w:r>
      <w:r>
        <w:br/>
      </w:r>
      <w:r>
        <w:rPr>
          <w:bCs/>
          <w:b/>
        </w:rPr>
        <w:t xml:space="preserve">MOPH Laboratory Accreditation No: QA-LAB-2023-4591</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Assessment Report: Primary Care Integration in Qatar</dc:title>
  <dc:creator/>
  <cp:keywords/>
  <dcterms:created xsi:type="dcterms:W3CDTF">2026-07-29T04:26:51Z</dcterms:created>
  <dcterms:modified xsi:type="dcterms:W3CDTF">2026-07-29T04:26:51Z</dcterms:modified>
</cp:coreProperties>
</file>

<file path=docProps/custom.xml><?xml version="1.0" encoding="utf-8"?>
<Properties xmlns="http://schemas.openxmlformats.org/officeDocument/2006/custom-properties" xmlns:vt="http://schemas.openxmlformats.org/officeDocument/2006/docPropsVTypes"/>
</file>