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Medical</w:t>
      </w:r>
      <w:r>
        <w:t xml:space="preserve"> </w:t>
      </w:r>
      <w:r>
        <w:t xml:space="preserve">Lab</w:t>
      </w:r>
      <w:r>
        <w:t xml:space="preserve"> </w:t>
      </w:r>
      <w:r>
        <w:t xml:space="preserve">Report</w:t>
      </w:r>
      <w:r>
        <w:t xml:space="preserve"> </w:t>
      </w:r>
      <w:r>
        <w:t xml:space="preserve">and</w:t>
      </w:r>
      <w:r>
        <w:t xml:space="preserve"> </w:t>
      </w:r>
      <w:r>
        <w:t xml:space="preserve">Clinical</w:t>
      </w:r>
      <w:r>
        <w:t xml:space="preserve"> </w:t>
      </w:r>
      <w:r>
        <w:t xml:space="preserve">Assessment</w:t>
      </w:r>
    </w:p>
    <w:bookmarkStart w:id="20" w:name="X282762508786de67d501fd890d561b25567333c"/>
    <w:p>
      <w:pPr>
        <w:pStyle w:val="Heading1"/>
      </w:pPr>
      <w:r>
        <w:t xml:space="preserve">Clinical Laboratory &amp; General Practice Report</w:t>
      </w:r>
    </w:p>
    <w:p>
      <w:pPr>
        <w:pStyle w:val="FirstParagraph"/>
      </w:pPr>
      <w:r>
        <w:rPr>
          <w:bCs/>
          <w:b/>
        </w:rPr>
        <w:t xml:space="preserve">Jeddah Primary Healthcare Center | Saudi Arabia Jeddah</w:t>
      </w:r>
    </w:p>
    <w:p>
      <w:pPr>
        <w:pStyle w:val="BodyText"/>
      </w:pPr>
      <w:r>
        <w:t xml:space="preserve">Date: October 24, 2023 | Report ID: SAU-JED-2023-8945-B</w:t>
      </w:r>
    </w:p>
    <w:bookmarkEnd w:id="20"/>
    <w:bookmarkStart w:id="23" w:name="patient-information-administrative-data"/>
    <w:p>
      <w:pPr>
        <w:pStyle w:val="Heading3"/>
      </w:pPr>
      <w:r>
        <w:t xml:space="preserve">Patient Information &amp; Administrative Data</w:t>
      </w:r>
    </w:p>
    <w:p>
      <w:pPr>
        <w:pStyle w:val="FirstParagraph"/>
      </w:pPr>
      <w:r>
        <w:t xml:space="preserve">&lt; div class="data-item"&gt;Patient Name:Ahmed Al-Masri</w:t>
      </w:r>
      <w:r>
        <w:t xml:space="preserve"> </w:t>
      </w:r>
      <w:r>
        <w:t xml:space="preserve">ID/National ID:1092837465</w:t>
      </w:r>
    </w:p>
    <w:p>
      <w:pPr>
        <w:pStyle w:val="BodyText"/>
      </w:pPr>
      <w:r>
        <w:t xml:space="preserve">Date of Birth:May 12, 1985</w:t>
      </w:r>
    </w:p>
    <w:p>
      <w:pPr>
        <w:pStyle w:val="BodyText"/>
      </w:pPr>
      <w:r>
        <w:t xml:space="preserve">Gender:Male</w:t>
      </w:r>
    </w:p>
    <w:bookmarkStart w:id="21" w:name="clinical-context-and-referral-source"/>
    <w:p>
      <w:pPr>
        <w:pStyle w:val="Heading3"/>
      </w:pPr>
      <w:r>
        <w:t xml:space="preserve">Clinical Context and Referral Source</w:t>
      </w:r>
    </w:p>
    <w:p>
      <w:pPr>
        <w:pStyle w:val="FirstParagraph"/>
      </w:pPr>
      <w:r>
        <w:t xml:space="preserve">This document serves as a comprehensive synthesis of diagnostic laboratory findings and clinical interpretation conducted by the</w:t>
      </w:r>
      <w:r>
        <w:t xml:space="preserve"> </w:t>
      </w:r>
      <w:r>
        <w:rPr>
          <w:bCs/>
          <w:b/>
        </w:rPr>
        <w:t xml:space="preserve">Doctor General Practitioner</w:t>
      </w:r>
      <w:r>
        <w:t xml:space="preserve">. The assessment was performed within the healthcare framework of Saudi Arabia Jeddah, adhering to the rigorous standards set forth by the Ministry of Health (MOH) and local public health directives in this region.</w:t>
      </w:r>
    </w:p>
    <w:p>
      <w:pPr>
        <w:pStyle w:val="BodyText"/>
      </w:pPr>
      <w:r>
        <w:t xml:space="preserve">The patient presented to the primary care clinic with complaints of persistent fatigue, intermittent mild fever, and unexplained weight loss over the past three weeks. In Saudi Arabia Jeddah, such presentations require a meticulous differential diagnosis that accounts for both endemic regional conditions and common lifestyle-related ailments prevalent in urban settings. The role of the Doctor General Practitioner here is pivotal; acting as the first line of defense in</w:t>
      </w:r>
      <w:r>
        <w:t xml:space="preserve"> </w:t>
      </w:r>
      <w:r>
        <w:rPr>
          <w:bCs/>
          <w:b/>
        </w:rPr>
        <w:t xml:space="preserve">Saudi Arabia Jeddah</w:t>
      </w:r>
      <w:r>
        <w:t xml:space="preserve">'s healthcare system, they must integrate clinical intuition with precise laboratory data to formulate an accurate diagnosis.</w:t>
      </w:r>
    </w:p>
    <w:bookmarkEnd w:id="21"/>
    <w:bookmarkStart w:id="22" w:name="laboratory-analysis-results"/>
    <w:p>
      <w:pPr>
        <w:pStyle w:val="Heading3"/>
      </w:pPr>
      <w:r>
        <w:t xml:space="preserve">Laboratory Analysis Results</w:t>
      </w:r>
    </w:p>
    <w:p>
      <w:pPr>
        <w:pStyle w:val="FirstParagraph"/>
      </w:pPr>
      <w:r>
        <w:t xml:space="preserve">The following results were obtained from the central pathology lab in Jeddah. All tests were conducted using automated analyzers calibrated according to international standards, ensuring reliability for local medical records.</w:t>
      </w:r>
    </w:p>
    <w:p>
      <w:pPr>
        <w:pStyle w:val="BodyText"/>
      </w:pPr>
      <w:r>
        <w:t xml:space="preserve">Test Category</w:t>
      </w:r>
    </w:p>
    <w:bookmarkEnd w:id="22"/>
    <w:bookmarkEnd w:id="23"/>
    <w:p>
      <w:pPr>
        <w:pStyle w:val="BodyText"/>
      </w:pPr>
      <w:r>
        <w:t xml:space="preserve">Name of Test</w:t>
      </w:r>
    </w:p>
    <w:p>
      <w:pPr>
        <w:pStyle w:val="BodyText"/>
      </w:pPr>
      <w:r>
        <w:t xml:space="preserve">Result Value</w:t>
      </w:r>
    </w:p>
    <w:p>
      <w:pPr>
        <w:pStyle w:val="BodyText"/>
      </w:pPr>
      <w:r>
        <w:t xml:space="preserve">Reference Range (Adult Male)</w:t>
      </w:r>
    </w:p>
    <w:p>
      <w:pPr>
        <w:pStyle w:val="BodyText"/>
      </w:pPr>
      <w:r>
        <w:t xml:space="preserve">&lt; td&gt;CBC (Complete Blood Count)&lt; td&gt;Hemoglobin (Hb)&lt; td class ="value"&gt;12.5 g/dL13.0 – 17.0 g/dL</w:t>
      </w:r>
    </w:p>
    <w:p>
      <w:pPr>
        <w:pStyle w:val="BodyText"/>
      </w:pPr>
      <w:r>
        <w:t xml:space="preserve">CBC (Complete Blood Count)</w:t>
      </w:r>
    </w:p>
    <w:p>
      <w:pPr>
        <w:pStyle w:val="BodyText"/>
      </w:pPr>
      <w:r>
        <w:t xml:space="preserve">White Blood Cells (WBC)&lt; td class="value"&gt;14,200 /µL&lt; tdclass ="ref"&gt;4,500 – 11,000 /µL</w:t>
      </w:r>
    </w:p>
    <w:p>
      <w:pPr>
        <w:pStyle w:val="BodyText"/>
      </w:pPr>
      <w:r>
        <w:t xml:space="preserve">CBC (Complete Blood Count)</w:t>
      </w:r>
    </w:p>
    <w:p>
      <w:pPr>
        <w:pStyle w:val="BodyText"/>
      </w:pPr>
      <w:r>
        <w:t xml:space="preserve">Platelets&lt; td class="value"&gt;250,00 /µL&lt; tdclass ="ref"&gt;15 , 4 , 4 , 9 .</w:t>
      </w:r>
    </w:p>
    <w:p>
      <w:pPr>
        <w:pStyle w:val="BodyText"/>
      </w:pPr>
      <w:r>
        <w:t xml:space="preserve">Biochemistry - Metabolic Panel</w:t>
      </w:r>
    </w:p>
    <w:p>
      <w:pPr>
        <w:pStyle w:val="BodyText"/>
      </w:pPr>
      <w:r>
        <w:t xml:space="preserve">Glucose (Fasting)&lt; th class="value"&gt;95 mg/dL</w:t>
      </w:r>
    </w:p>
    <w:p>
      <w:pPr>
        <w:pStyle w:val="BodyText"/>
      </w:pPr>
      <w:r>
        <w:t xml:space="preserve">70 – 99 mg/dL</w:t>
      </w:r>
    </w:p>
    <w:p>
      <w:pPr>
        <w:pStyle w:val="BodyText"/>
      </w:pPr>
      <w:r>
        <w:t xml:space="preserve">&lt; td&gt;Biochemistry - Liver Function Tests (LFTs )</w:t>
      </w:r>
    </w:p>
    <w:p>
      <w:pPr>
        <w:pStyle w:val="BodyText"/>
      </w:pPr>
      <w:r>
        <w:t xml:space="preserve">Alanine Aminotransferase (ALT)&lt; td class="value"&gt;32 U/L7 – 56 U/L</w:t>
      </w:r>
    </w:p>
    <w:p>
      <w:pPr>
        <w:pStyle w:val="BodyText"/>
      </w:pPr>
      <w:r>
        <w:t xml:space="preserve">Biochemistry - Liver Function Tests (LFTs)</w:t>
      </w:r>
    </w:p>
    <w:p>
      <w:pPr>
        <w:pStyle w:val="BodyText"/>
      </w:pPr>
      <w:r>
        <w:t xml:space="preserve">Aspartate Aminotransferase (AST)</w:t>
      </w:r>
    </w:p>
    <w:p>
      <w:pPr>
        <w:pStyle w:val="BodyText"/>
      </w:pPr>
      <w:r>
        <w:t xml:space="preserve">28 U/L&lt; tdclass ="ref"&gt;10 – 40 U/L</w:t>
      </w:r>
    </w:p>
    <w:p>
      <w:pPr>
        <w:pStyle w:val="BodyText"/>
      </w:pPr>
      <w:r>
        <w:t xml:space="preserve">Inflammatory Markers&lt; td&gt;C-Reactive Protein (CRP)&lt; td class="value"&gt;25 mg/L&lt; 5 mg / L</w:t>
      </w:r>
    </w:p>
    <w:p>
      <w:pPr>
        <w:pStyle w:val="BodyText"/>
      </w:pPr>
      <w:r>
        <w:t xml:space="preserve">Serology &amp; Infectious Disease Screening (Standard in Saudi Arabia Jeddah for systemic symptoms)&lt; td&gt;Brucella IgG/IgM&lt; td class="value"&gt;NegativeNon-Reactive</w:t>
      </w:r>
    </w:p>
    <w:p>
      <w:pPr>
        <w:pStyle w:val="BodyText"/>
      </w:pPr>
      <w:r>
        <w:t xml:space="preserve">Serology &amp; Infectious Disease Screening (Standard in Saudi Arabia Jeddah for systemic symptoms)&lt; td&gt;Malaria Parasite Smear (Thick/Thin )</w:t>
      </w:r>
    </w:p>
    <w:p>
      <w:pPr>
        <w:pStyle w:val="BodyText"/>
      </w:pPr>
      <w:r>
        <w:t xml:space="preserve">No organisms seen&lt; tdclass ="ref"&gt;Negative</w:t>
      </w:r>
    </w:p>
    <w:p>
      <w:pPr>
        <w:pStyle w:val="BodyText"/>
      </w:pPr>
      <w:r>
        <w:t xml:space="preserve">Vitamin Levels</w:t>
      </w:r>
    </w:p>
    <w:p>
      <w:pPr>
        <w:pStyle w:val="BodyText"/>
      </w:pPr>
      <w:r>
        <w:t xml:space="preserve">Vitamin D Total 25-OH&lt; th class="value"&gt;18 ng/mL&lt; /t h &gt;</w:t>
      </w:r>
    </w:p>
    <w:p>
      <w:pPr>
        <w:pStyle w:val="BodyText"/>
      </w:pPr>
      <w:r>
        <w:t xml:space="preserve">30 – 100 ng/mL (Sufficiency)</w:t>
      </w:r>
    </w:p>
    <w:bookmarkStart w:id="24" w:name="Xdb505ba0bf9253208b6efe1822e13ea8e82db5f"/>
    <w:p>
      <w:pPr>
        <w:pStyle w:val="Heading3"/>
      </w:pPr>
      <w:r>
        <w:t xml:space="preserve">Clinical Interpretation by Doctor General Practitioner</w:t>
      </w:r>
    </w:p>
    <w:p>
      <w:pPr>
        <w:pStyle w:val="FirstParagraph"/>
      </w:pPr>
      <w:r>
        <w:t xml:space="preserve">The analysis of these results reveals a distinct pattern that requires careful consideration within the specific medical context of Saudi Arabia Jeddah. The patient exhibits leukocytosis (elevated WBC) and elevated C-Reactive Protein (CRP), indicating an active inflammatory or infectious process. However, common tropical infections prevalent in coastal areas like Jeddah, such as Brucellosis and Malaria, have been ruled out via serology and smear tests.</w:t>
      </w:r>
    </w:p>
    <w:p>
      <w:pPr>
        <w:pStyle w:val="BodyText"/>
      </w:pPr>
      <w:r>
        <w:t xml:space="preserve">The presence of mild anemia (low Hemoglobin) alongside normal liver function and fasting glucose levels helps narrow the differential diagnosis. The significantly low Vitamin D level is noteworthy. In Saudi Arabia Jeddah, despite abundant sunshine, Vitamin D deficiency is highly prevalent due to cultural clothing practices and indoor lifestyles. While this does not directly explain the acute infection signs, it contributes to the patient's reported fatigue and may compromise immune resilience.</w:t>
      </w:r>
    </w:p>
    <w:p>
      <w:pPr>
        <w:pStyle w:val="BodyText"/>
      </w:pPr>
      <w:r>
        <w:t xml:space="preserve">The Doctor General Practitioner concludes that the clinical picture suggests a bacterial infection of unknown primary source, potentially urinary tract-related or early-stage respiratory involvement not yet visible on physical exam. The absence of gastrointestinal symptoms makes typical food-borne illnesses less likely, though the high prevalence of certain resistant bacteria in</w:t>
      </w:r>
      <w:r>
        <w:t xml:space="preserve"> </w:t>
      </w:r>
      <w:r>
        <w:rPr>
          <w:bCs/>
          <w:b/>
        </w:rPr>
        <w:t xml:space="preserve">Saudi Arabia Jeddah</w:t>
      </w:r>
      <w:r>
        <w:t xml:space="preserve"> </w:t>
      </w:r>
      <w:r>
        <w:t xml:space="preserve">necessitates cautious antibiotic stewardship.</w:t>
      </w:r>
    </w:p>
    <w:bookmarkEnd w:id="24"/>
    <w:bookmarkStart w:id="25" w:name="recommendations-and-treatment-plan"/>
    <w:p>
      <w:pPr>
        <w:pStyle w:val="Heading3"/>
      </w:pPr>
      <w:r>
        <w:t xml:space="preserve">Recommendations and Treatment Plan</w:t>
      </w:r>
    </w:p>
    <w:p>
      <w:pPr>
        <w:numPr>
          <w:ilvl w:val="0"/>
          <w:numId w:val="1001"/>
        </w:numPr>
        <w:pStyle w:val="Compact"/>
      </w:pPr>
      <w:r>
        <w:rPr>
          <w:bCs/>
          <w:b/>
        </w:rPr>
        <w:t xml:space="preserve">Empirical Antibiotic Therapy:</w:t>
      </w:r>
      <w:r>
        <w:t xml:space="preserve"> </w:t>
      </w:r>
      <w:r>
        <w:t xml:space="preserve">Given the leukocytosis and high CRP, the Doctor General Practitioner has prescribed a course of Amoxicillin-Clavulanate (1g every 8 hours) for 7 days. This choice is made to cover common community-acquired pathogens while considering local resistance patterns in Jeddah.</w:t>
      </w:r>
    </w:p>
    <w:p>
      <w:pPr>
        <w:numPr>
          <w:ilvl w:val="0"/>
          <w:numId w:val="1001"/>
        </w:numPr>
        <w:pStyle w:val="Compact"/>
      </w:pPr>
      <w:r>
        <w:rPr>
          <w:bCs/>
          <w:b/>
        </w:rPr>
        <w:t xml:space="preserve">Vitamin D Supplementation:</w:t>
      </w:r>
      <w:r>
        <w:t xml:space="preserve"> </w:t>
      </w:r>
      <w:r>
        <w:t xml:space="preserve">Due to the confirmed deficiency, a high-dose Vitamin D3 supplementation protocol (50,000 IU weekly for 8 weeks) has been initiated. Addressing this is crucial for long-term health maintenance in the Saudi population.</w:t>
      </w:r>
    </w:p>
    <w:p>
      <w:pPr>
        <w:numPr>
          <w:ilvl w:val="0"/>
          <w:numId w:val="1001"/>
        </w:numPr>
        <w:pStyle w:val="Compact"/>
      </w:pPr>
      <w:r>
        <w:rPr>
          <w:bCs/>
          <w:b/>
        </w:rPr>
        <w:t xml:space="preserve">Further Diagnostic Imaging:</w:t>
      </w:r>
      <w:r>
        <w:t xml:space="preserve"> </w:t>
      </w:r>
      <w:r>
        <w:t xml:space="preserve">A Chest X-ray is recommended to rule out occult pulmonary pathology, and a Urinalysis with Culture is required to identify any urinary source of infection.</w:t>
      </w:r>
    </w:p>
    <w:p>
      <w:pPr>
        <w:numPr>
          <w:ilvl w:val="0"/>
          <w:numId w:val="1001"/>
        </w:numPr>
        <w:pStyle w:val="Compact"/>
      </w:pPr>
      <w:r>
        <w:rPr>
          <w:bCs/>
          <w:b/>
        </w:rPr>
        <w:t xml:space="preserve">Lifestyle Modification:</w:t>
      </w:r>
      <w:r>
        <w:t xml:space="preserve"> </w:t>
      </w:r>
      <w:r>
        <w:t xml:space="preserve">The patient was advised on the importance of safe sun exposure (15-20 minutes midday) for natural Vitamin D synthesis, balanced with appropriate sun protection measures common in the Jeddah climate.</w:t>
      </w:r>
    </w:p>
    <w:bookmarkEnd w:id="25"/>
    <w:bookmarkStart w:id="26" w:name="follow-up-and-prognosis"/>
    <w:p>
      <w:pPr>
        <w:pStyle w:val="Heading3"/>
      </w:pPr>
      <w:r>
        <w:t xml:space="preserve">Follow-Up and Prognosis</w:t>
      </w:r>
    </w:p>
    <w:p>
      <w:pPr>
        <w:pStyle w:val="FirstParagraph"/>
      </w:pPr>
      <w:r>
        <w:t xml:space="preserve">The patient is instructed to return to the clinic in 10 days for re-evaluation. If symptoms persist or worsen, further imaging such as an abdominal ultrasound may be considered. The prognosis is generally favorable given the absence of chronic comorbidities like diabetes or hypertension.</w:t>
      </w:r>
    </w:p>
    <w:p>
      <w:pPr>
        <w:pStyle w:val="BodyText"/>
      </w:pPr>
      <w:r>
        <w:t xml:space="preserve">This report highlights the critical role of the Doctor General Practitioner in navigating the intersection of clinical science and regional health dynamics in Saudi Arabia Jeddah. By integrating global medical standards with local epidemiological data, healthcare providers ensure that patients receive care that is both scientifically sound and culturally relevant. The thoroughness of this Lab Report ensures continuity of care should the patient require referral to a specialist hospital in Jeddah.</w:t>
      </w:r>
    </w:p>
    <w:bookmarkEnd w:id="26"/>
    <w:p>
      <w:pPr>
        <w:pStyle w:val="BodyText"/>
      </w:pPr>
      <w:r>
        <w:rPr>
          <w:bCs/>
          <w:b/>
        </w:rPr>
        <w:t xml:space="preserve">Authorized Signature:</w:t>
      </w:r>
      <w:r>
        <w:t xml:space="preserve"> </w:t>
      </w:r>
      <w:r>
        <w:rPr>
          <w:iCs/>
          <w:i/>
        </w:rPr>
        <w:t xml:space="preserve">[Dr. Sara Al-Harbi, MD]</w:t>
      </w:r>
      <w:r>
        <w:br/>
      </w:r>
      <w:r>
        <w:t xml:space="preserve">General Practitioner</w:t>
      </w:r>
      <w:r>
        <w:br/>
      </w:r>
      <w:r>
        <w:t xml:space="preserve">Ministry of Health Facility, Jeddah</w:t>
      </w:r>
      <w:r>
        <w:br/>
      </w:r>
      <w:r>
        <w:t xml:space="preserve">Contact: +966-12-555-0199 | Email: dr.harbi@mohealth.sa.je</w:t>
      </w:r>
    </w:p>
    <w:p>
      <w:pPr>
        <w:pStyle w:val="BodyText"/>
      </w:pPr>
      <w:r>
        <w:t xml:space="preserve">This document is a simulated Lab Report for educational and formatting purposes. It does not constitute real medical advice, diagnosis, or treatment. Always seek the advice of your Doctor General Practitioner or other qualified health provider with any questions you may have regarding a medical condition.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Medical Lab Report and Clinical Assessment</dc:title>
  <dc:creator/>
  <dc:language>en</dc:language>
  <cp:keywords/>
  <dcterms:created xsi:type="dcterms:W3CDTF">2026-07-29T04:09:58Z</dcterms:created>
  <dcterms:modified xsi:type="dcterms:W3CDTF">2026-07-29T04:09:58Z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