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General</w:t>
      </w:r>
      <w:r>
        <w:t xml:space="preserve"> </w:t>
      </w:r>
      <w:r>
        <w:t xml:space="preserve">Practitioner</w:t>
      </w:r>
      <w:r>
        <w:t xml:space="preserve"> </w:t>
      </w:r>
      <w:r>
        <w:t xml:space="preserve">Consultation</w:t>
      </w:r>
      <w:r>
        <w:t xml:space="preserve"> </w:t>
      </w:r>
      <w:r>
        <w:t xml:space="preserve">Analysis</w:t>
      </w:r>
      <w:r>
        <w:t xml:space="preserve"> </w:t>
      </w:r>
      <w:r>
        <w:t xml:space="preserve">in</w:t>
      </w:r>
      <w:r>
        <w:t xml:space="preserve"> </w:t>
      </w:r>
      <w:r>
        <w:t xml:space="preserve">Spain</w:t>
      </w:r>
      <w:r>
        <w:t xml:space="preserve"> </w:t>
      </w:r>
      <w:r>
        <w:t xml:space="preserve">Madrid</w:t>
      </w:r>
    </w:p>
    <w:bookmarkStart w:id="20" w:name="laboratory-report"/>
    <w:p>
      <w:pPr>
        <w:pStyle w:val="Heading1"/>
      </w:pPr>
      <w:r>
        <w:t xml:space="preserve">Laboratory Report</w:t>
      </w:r>
    </w:p>
    <w:p>
      <w:pPr>
        <w:pStyle w:val="FirstParagraph"/>
      </w:pPr>
      <w:r>
        <w:rPr>
          <w:bCs/>
          <w:b/>
        </w:rPr>
        <w:t xml:space="preserve">Clinical Analysis and Primary Care Documentation</w:t>
      </w:r>
    </w:p>
    <w:p>
      <w:pPr>
        <w:pStyle w:val="BodyText"/>
      </w:pPr>
      <w:r>
        <w:rPr>
          <w:iCs/>
          <w:i/>
        </w:rPr>
        <w:t xml:space="preserve">Prepared for Review by Medical Administration and Health Policy Analysts</w:t>
      </w:r>
    </w:p>
    <w:bookmarkEnd w:id="20"/>
    <w:bookmarkStart w:id="22" w:name="introduction"/>
    <w:bookmarkStart w:id="21" w:name="i.-introduction-and-contextual-framework"/>
    <w:p>
      <w:pPr>
        <w:pStyle w:val="Heading2"/>
      </w:pPr>
      <w:r>
        <w:t xml:space="preserve">I. Introduction and Contextual Framework</w:t>
      </w:r>
    </w:p>
    <w:p>
      <w:pPr>
        <w:pStyle w:val="FirstParagraph"/>
      </w:pPr>
      <w:r>
        <w:t xml:space="preserve">This laboratory report serves as a comprehensive analytical document detailing the clinical operations, diagnostic protocols, and patient management strategies employed by a Doctor General Practitioner (GP) operating within the distinct healthcare ecosystem of Spain Madrid. The region of Madrid, serving as both the capital city and an autonomous community in Spain, presents a unique demographic and logistical landscape for primary care provision. The integration of public health initiatives with private medical practice requires a nuanced understanding of local regulations, patient expectations, and epidemiological trends specific to this metropolitan hub.</w:t>
      </w:r>
    </w:p>
    <w:p>
      <w:pPr>
        <w:pStyle w:val="FirstParagraph"/>
      </w:pPr>
      <w:r>
        <w:t xml:space="preserve">The primary objective of this report is to elucidate the multifaceted role of the Doctor General Practitioner in Spain Madrid. Unlike general practitioners in other jurisdictions, GPs here function as the pivotal gatekeepers within both the Sistema Nacional de Salud (SNS) and private healthcare sectors. This document explores their responsibilities ranging from acute care management to chronic disease prevention, emphasizing how geographic location influences medical practice in one of Europe's most densely populated urban centers.</w:t>
      </w:r>
    </w:p>
    <w:bookmarkEnd w:id="21"/>
    <w:bookmarkEnd w:id="22"/>
    <w:bookmarkStart w:id="26" w:name="patient-profile"/>
    <w:bookmarkStart w:id="25" w:name="X8cde85ba7d9940b2db35d29f346d1e42b10d16a"/>
    <w:p>
      <w:pPr>
        <w:pStyle w:val="Heading2"/>
      </w:pPr>
      <w:r>
        <w:t xml:space="preserve">II. Clinical Case Overview and Patient Demographics</w:t>
      </w:r>
    </w:p>
    <w:p>
      <w:pPr>
        <w:pStyle w:val="FirstParagraph"/>
      </w:pPr>
      <w:r>
        <w:rPr>
          <w:bCs/>
          <w:b/>
        </w:rPr>
        <w:t xml:space="preserve">Patient ID:</w:t>
      </w:r>
    </w:p>
    <w:p>
      <w:pPr>
        <w:pStyle w:val="BodyText"/>
      </w:pPr>
      <w:r>
        <w:rPr>
          <w:iCs/>
          <w:i/>
        </w:rPr>
        <w:t xml:space="preserve">Note: All patient data has been anonymized in accordance with the General Data Protection Regulation (GDPR) and Spanish Organic Law 3/2018 on Personal Data Protection.</w:t>
      </w:r>
    </w:p>
    <w:bookmarkStart w:id="23" w:name="a.-demographic-background"/>
    <w:p>
      <w:pPr>
        <w:pStyle w:val="Heading3"/>
      </w:pPr>
      <w:r>
        <w:t xml:space="preserve">A. Demographic Background</w:t>
      </w:r>
    </w:p>
    <w:p>
      <w:pPr>
        <w:pStyle w:val="FirstParagraph"/>
      </w:pPr>
      <w:r>
        <w:t xml:space="preserve">The subject of this clinical analysis is a 45-year-old male resident in the district of Chamberí, Spain Madrid. The patient presents with no significant prior medical history but reports increasing fatigue and intermittent upper respiratory symptoms over the past three weeks. The demographic profile is representative of the urban workforce in Madrid, characterized by high stress levels and exposure to urban air pollution factors that may influence respiratory health.</w:t>
      </w:r>
    </w:p>
    <w:bookmarkEnd w:id="23"/>
    <w:bookmarkStart w:id="24" w:name="b.-initial-presentation"/>
    <w:p>
      <w:pPr>
        <w:pStyle w:val="Heading3"/>
      </w:pPr>
      <w:r>
        <w:t xml:space="preserve">B. Initial Presentation</w:t>
      </w:r>
    </w:p>
    <w:p>
      <w:pPr>
        <w:pStyle w:val="FirstParagraph"/>
      </w:pPr>
      <w:r>
        <w:t xml:space="preserve">The patient sought consultation through a Doctor General Practitioner at a local Centro de Salud (Health Center) integrated into the public network, though with parallel private insurance coverage for expedited diagnostics. The initial triage was conducted to rule out common viral infections prevalent in the Madrid metropolitan area during this season.</w:t>
      </w:r>
    </w:p>
    <w:bookmarkEnd w:id="24"/>
    <w:bookmarkEnd w:id="25"/>
    <w:bookmarkEnd w:id="26"/>
    <w:bookmarkStart w:id="31" w:name="clinical-procedures"/>
    <w:bookmarkStart w:id="30" w:name="X83814e543175ecc420ad6cf6b32505707e62f17"/>
    <w:p>
      <w:pPr>
        <w:pStyle w:val="Heading2"/>
      </w:pPr>
      <w:r>
        <w:t xml:space="preserve">III. Diagnostic Protocols and Laboratory Analysis</w:t>
      </w:r>
    </w:p>
    <w:bookmarkStart w:id="27" w:name="a.-physical-examination-and-vital-signs"/>
    <w:p>
      <w:pPr>
        <w:pStyle w:val="Heading3"/>
      </w:pPr>
      <w:r>
        <w:t xml:space="preserve">A. Physical Examination and Vital Signs</w:t>
      </w:r>
    </w:p>
    <w:p>
      <w:pPr>
        <w:pStyle w:val="FirstParagraph"/>
      </w:pPr>
      <w:r>
        <w:t xml:space="preserve">The Doctor General Practitioner initiated a comprehensive physical examination, focusing on the respiratory system, cardiovascular health, and lymphatic nodes. Blood pressure was recorded at 120/80 mmHg, heart rate at 72 bpm (regular rhythm), and oxygen saturation (SpO2) measured at 98% on room air. These baseline metrics are critical for establishing a healthy reference point within the clinical record maintained by the Doctor General Practitioner.</w:t>
      </w:r>
    </w:p>
    <w:bookmarkEnd w:id="27"/>
    <w:bookmarkStart w:id="28" w:name="b.-laboratory-workup"/>
    <w:p>
      <w:pPr>
        <w:pStyle w:val="Heading3"/>
      </w:pPr>
      <w:r>
        <w:t xml:space="preserve">B. Laboratory Workup</w:t>
      </w:r>
    </w:p>
    <w:p>
      <w:pPr>
        <w:pStyle w:val="FirstParagraph"/>
      </w:pPr>
      <w:r>
        <w:t xml:space="preserve">To ensure a definitive diagnosis, the Doctor General Practitioner ordered a panel of laboratory tests typical for primary care settings in Spain Madrid. This included:</w:t>
      </w:r>
    </w:p>
    <w:p>
      <w:pPr>
        <w:pStyle w:val="BodyText"/>
      </w:pPr>
      <w:r>
        <w:rPr>
          <w:bCs/>
          <w:b/>
        </w:rPr>
        <w:t xml:space="preserve">Clinical Blood Count (Hemogram):</w:t>
      </w:r>
    </w:p>
    <w:p>
      <w:pPr>
        <w:pStyle w:val="FirstParagraph"/>
      </w:pPr>
      <w:r>
        <w:rPr>
          <w:bCs/>
          <w:b/>
        </w:rPr>
        <w:t xml:space="preserve">C-Reactive Protein (CRP):</w:t>
      </w:r>
    </w:p>
    <w:bookmarkEnd w:id="28"/>
    <w:bookmarkStart w:id="29" w:name="c.-diagnostic-imaging"/>
    <w:p>
      <w:pPr>
        <w:pStyle w:val="Heading3"/>
      </w:pPr>
      <w:r>
        <w:t xml:space="preserve">C. Diagnostic Imaging</w:t>
      </w:r>
    </w:p>
    <w:p>
      <w:pPr>
        <w:pStyle w:val="FirstParagraph"/>
      </w:pPr>
      <w:r>
        <w:t xml:space="preserve">In addition to laboratory work, the Doctor General Practitioner requested a chest X-ray to visualize the pulmonary fields. This step is often employed in urban settings like Spain Madrid when symptoms persist beyond two weeks or when physical examination findings are ambiguous. The imaging revealed clear lung fields with no evidence of consolidation, effectively ruling out pneumonia.</w:t>
      </w:r>
    </w:p>
    <w:bookmarkEnd w:id="29"/>
    <w:bookmarkEnd w:id="30"/>
    <w:bookmarkEnd w:id="31"/>
    <w:bookmarkStart w:id="35" w:name="treatment-plan"/>
    <w:bookmarkStart w:id="34" w:name="Xdf1032f58f4545c18d8cdbb87097f6d296b566b"/>
    <w:p>
      <w:pPr>
        <w:pStyle w:val="Heading2"/>
      </w:pPr>
      <w:r>
        <w:t xml:space="preserve">IV. Therapeutic Intervention and Management Plan</w:t>
      </w:r>
    </w:p>
    <w:bookmarkStart w:id="32" w:name="a.-pharmacological-prescription"/>
    <w:p>
      <w:pPr>
        <w:pStyle w:val="Heading3"/>
      </w:pPr>
      <w:r>
        <w:t xml:space="preserve">A. Pharmacological Prescription</w:t>
      </w:r>
    </w:p>
    <w:p>
      <w:pPr>
        <w:pStyle w:val="FirstParagraph"/>
      </w:pPr>
      <w:r>
        <w:t xml:space="preserve">Based on the clinical judgment of the Doctor General Practitioner, a conservative treatment approach was adopted. Given the absence of severe bacterial indicators and clear imaging results, antibiotics were withheld to prevent resistance. Instead, symptomatic relief was prescribed:</w:t>
      </w:r>
    </w:p>
    <w:p>
      <w:pPr>
        <w:pStyle w:val="BodyText"/>
      </w:pPr>
      <w:r>
        <w:rPr>
          <w:bCs/>
          <w:b/>
        </w:rPr>
        <w:t xml:space="preserve">Paracetamol:</w:t>
      </w:r>
    </w:p>
    <w:p>
      <w:pPr>
        <w:pStyle w:val="BodyText"/>
      </w:pPr>
      <w:r>
        <w:t xml:space="preserve">Dosage adjusted for body weight to manage low-grade fever and fatigue.</w:t>
      </w:r>
    </w:p>
    <w:p>
      <w:pPr>
        <w:pStyle w:val="BodyText"/>
      </w:pPr>
      <w:r>
        <w:rPr>
          <w:bCs/>
          <w:b/>
        </w:rPr>
        <w:t xml:space="preserve">Mucolytics:</w:t>
      </w:r>
    </w:p>
    <w:bookmarkEnd w:id="32"/>
    <w:bookmarkStart w:id="33" w:name="b.-follow-up-strategy"/>
    <w:p>
      <w:pPr>
        <w:pStyle w:val="Heading3"/>
      </w:pPr>
      <w:r>
        <w:t xml:space="preserve">B. Follow-up Strategy</w:t>
      </w:r>
    </w:p>
    <w:p>
      <w:pPr>
        <w:pStyle w:val="FirstParagraph"/>
      </w:pPr>
      <w:r>
        <w:t xml:space="preserve">The Doctor General Practitioner established a follow-up protocol via the electronic health record system used throughout Spain Madrid. Patients are advised to return if symptoms worsen or persist beyond five days. This proactive management ensures continuity of care and allows for timely adjustments in treatment.</w:t>
      </w:r>
    </w:p>
    <w:bookmarkEnd w:id="33"/>
    <w:bookmarkEnd w:id="34"/>
    <w:bookmarkEnd w:id="35"/>
    <w:bookmarkStart w:id="37" w:name="conclusion"/>
    <w:bookmarkStart w:id="36" w:name="v.-conclusion-and-systemic-implications"/>
    <w:p>
      <w:pPr>
        <w:pStyle w:val="Heading2"/>
      </w:pPr>
      <w:r>
        <w:t xml:space="preserve">V. Conclusion and Systemic Implications</w:t>
      </w:r>
    </w:p>
    <w:p>
      <w:pPr>
        <w:pStyle w:val="FirstParagraph"/>
      </w:pPr>
      <w:r>
        <w:t xml:space="preserve">This laboratory report underscores the critical function of the Doctor General Practitioner in navigating the complexities of urban healthcare in Spain Madrid. The case presented illustrates how primary care providers utilize a blend of clinical expertise, diagnostic precision, and adherence to national health guidelines to manage patient wellness.</w:t>
      </w:r>
    </w:p>
    <w:p>
      <w:pPr>
        <w:pStyle w:val="BodyText"/>
      </w:pPr>
      <w:r>
        <w:t xml:space="preserve">&lt;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General Practitioner Consultation Analysis in Spain Madrid</dc:title>
  <dc:creator/>
  <dc:language>en</dc:language>
  <cp:keywords/>
  <dcterms:created xsi:type="dcterms:W3CDTF">2026-07-29T14:41:54Z</dcterms:created>
  <dcterms:modified xsi:type="dcterms:W3CDTF">2026-07-29T14:41:54Z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