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and</w:t>
      </w:r>
      <w:r>
        <w:t xml:space="preserve"> </w:t>
      </w:r>
      <w:r>
        <w:t xml:space="preserve">Clinical</w:t>
      </w:r>
      <w:r>
        <w:t xml:space="preserve"> </w:t>
      </w:r>
      <w:r>
        <w:t xml:space="preserve">Diagnostic</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Assessment</w:t>
      </w:r>
      <w:r>
        <w:t xml:space="preserve"> </w:t>
      </w:r>
      <w:r>
        <w:t xml:space="preserve">in</w:t>
      </w:r>
      <w:r>
        <w:t xml:space="preserve"> </w:t>
      </w:r>
      <w:r>
        <w:t xml:space="preserve">Sudan</w:t>
      </w:r>
      <w:r>
        <w:t xml:space="preserve"> </w:t>
      </w:r>
      <w:r>
        <w:t xml:space="preserve">Khartoum</w:t>
      </w:r>
    </w:p>
    <w:bookmarkStart w:id="20" w:name="Xc564e626ea2976c192363431ff58b73d2149f81"/>
    <w:p>
      <w:pPr>
        <w:pStyle w:val="Heading1"/>
      </w:pPr>
      <w:r>
        <w:t xml:space="preserve">Laboratory Report and Clinical Assessment</w:t>
      </w:r>
    </w:p>
    <w:p>
      <w:pPr>
        <w:pStyle w:val="FirstParagraph"/>
      </w:pPr>
      <w:r>
        <w:rPr>
          <w:bCs/>
          <w:b/>
        </w:rPr>
        <w:t xml:space="preserve">Institution:</w:t>
      </w:r>
      <w:r>
        <w:t xml:space="preserve"> </w:t>
      </w:r>
      <w:r>
        <w:t xml:space="preserve">Central General Hospital Diagnostic Unit</w:t>
      </w:r>
      <w:r>
        <w:br/>
      </w:r>
      <w:r>
        <w:rPr>
          <w:bCs/>
          <w:b/>
        </w:rPr>
        <w:t xml:space="preserve">Location:</w:t>
      </w:r>
      <w:r>
        <w:t xml:space="preserve"> </w:t>
      </w:r>
      <w:r>
        <w:t xml:space="preserve">Sudan Khartoum, Nile River Basin Region</w:t>
      </w:r>
      <w:r>
        <w:br/>
      </w:r>
      <w:r>
        <w:rPr>
          <w:bCs/>
          <w:b/>
        </w:rPr>
        <w:t xml:space="preserve">Patient ID:</w:t>
      </w:r>
      <w:r>
        <w:t xml:space="preserve">SUD-KRT-2023-X89</w:t>
      </w:r>
      <w:r>
        <w:br/>
      </w:r>
      <w:r>
        <w:t xml:space="preserve">Date of Report: October 24, 2023</w:t>
      </w:r>
    </w:p>
    <w:bookmarkEnd w:id="20"/>
    <w:bookmarkStart w:id="21" w:name="introduction-and-contextual-background"/>
    <w:p>
      <w:pPr>
        <w:pStyle w:val="Heading2"/>
      </w:pPr>
      <w:r>
        <w:t xml:space="preserve">1. Introduction and Contextual Background</w:t>
      </w:r>
    </w:p>
    <w:p>
      <w:pPr>
        <w:pStyle w:val="FirstParagraph"/>
      </w:pPr>
      <w:r>
        <w:t xml:space="preserve">This comprehensive laboratory report serves as a critical component of the medical evaluation conducted by a Doctor General Practitioner operating within the unique healthcare ecosystem of Sudan Khartoum. The purpose of this document is to synthesize clinical findings, laboratory data, and epidemiological considerations relevant to primary care practitioners in this specific geographic region. In Sudan Khartoum, the role of the General Practitioner is multifaceted; they are often the first point of contact for patients navigating a complex health landscape characterized by both endemic infectious diseases and rising rates of non-communicable disorders.</w:t>
      </w:r>
    </w:p>
    <w:p>
      <w:pPr>
        <w:pStyle w:val="BodyText"/>
      </w:pPr>
      <w:r>
        <w:t xml:space="preserve">The integration of laboratory diagnostics with general practice is vital in this setting. Resources may vary, requiring the Doctor General Practitioner to prioritize tests that are high-yield and cost-effective while maintaining rigorous standards of care. This report outlines the diagnostic pathway for a typical presentation encountered in urban Sudan Khartoum, highlighting how laboratory results inform clinical decision-making at the primary care level.</w:t>
      </w:r>
    </w:p>
    <w:bookmarkEnd w:id="21"/>
    <w:bookmarkStart w:id="22" w:name="clinical-presentation-and-anamnesis"/>
    <w:p>
      <w:pPr>
        <w:pStyle w:val="Heading2"/>
      </w:pPr>
      <w:r>
        <w:t xml:space="preserve">2. Clinical Presentation and Anamnesis</w:t>
      </w:r>
    </w:p>
    <w:p>
      <w:pPr>
        <w:pStyle w:val="FirstParagraph"/>
      </w:pPr>
      <w:r>
        <w:t xml:space="preserve">The patient, a 45-year-old male resident of Khartoum State, presented to the General Practitioner’s clinic with complaints of persistent fatigue, low-grade fever (37.8°C), and intermittent abdominal pain over the past two weeks. The history obtained by the Doctor General Practitioner revealed recent exposure to stagnant water sources in residential areas near the confluence of the Blue and White Niles, a known risk factor for various vector-borne diseases prevalent in Sudan Khartoum.</w:t>
      </w:r>
    </w:p>
    <w:p>
      <w:pPr>
        <w:pStyle w:val="BodyText"/>
      </w:pPr>
      <w:r>
        <w:t xml:space="preserve">Vital signs indicated mild tachycardia and dehydration. Physical examination revealed slight hepatomegaly but no signs of jaundice. Given the epidemiological context of Sudan Khartoum, the Doctor General Practitioner formulated a differential diagnosis that included Malaria, Typhoid Fever, Schistosomiasis (Bilharzia), and Dengue Fever. These conditions are among the most significant public health challenges in this region.</w:t>
      </w:r>
    </w:p>
    <w:bookmarkEnd w:id="22"/>
    <w:bookmarkStart w:id="26" w:name="laboratory-investigation-protocol"/>
    <w:p>
      <w:pPr>
        <w:pStyle w:val="Heading2"/>
      </w:pPr>
      <w:r>
        <w:t xml:space="preserve">3. Laboratory Investigation Protocol</w:t>
      </w:r>
    </w:p>
    <w:p>
      <w:pPr>
        <w:pStyle w:val="FirstParagraph"/>
      </w:pPr>
      <w:r>
        <w:t xml:space="preserve">To confirm or rule out the suspected etiologies, the Doctor General Practitioner ordered a panel of laboratory tests. The following section details the specific analyses performed and their clinical significance within the Sudan Khartoum medical context.</w:t>
      </w:r>
    </w:p>
    <w:bookmarkStart w:id="23" w:name="hematology-and-blood-smear-analysis"/>
    <w:p>
      <w:pPr>
        <w:pStyle w:val="Heading3"/>
      </w:pPr>
      <w:r>
        <w:t xml:space="preserve">3.1 Hematology and Blood Smear Analysis</w:t>
      </w:r>
    </w:p>
    <w:p>
      <w:pPr>
        <w:pStyle w:val="FirstParagraph"/>
      </w:pPr>
      <w:r>
        <w:t xml:space="preserve">A Complete Blood Count (CBC) was initiated to assess for leukocytosis, anemia, or thrombocytopenia. Concurrently, thick and thin blood smears were prepared for microscopic examination to detect parasitemia.</w:t>
      </w:r>
    </w:p>
    <w:p>
      <w:pPr>
        <w:numPr>
          <w:ilvl w:val="0"/>
          <w:numId w:val="1001"/>
        </w:numPr>
        <w:pStyle w:val="Compact"/>
      </w:pPr>
      <w:r>
        <w:rPr>
          <w:bCs/>
          <w:b/>
        </w:rPr>
        <w:t xml:space="preserve">Rationale:</w:t>
      </w:r>
      <w:r>
        <w:t xml:space="preserve"> </w:t>
      </w:r>
      <w:r>
        <w:t xml:space="preserve">In Sudan Khartoum, Malaria remains a leading cause of febrile illness. The presence of *Plasmodium falciparum* or *Plasmodium vivax* would drastically alter the treatment plan.</w:t>
      </w:r>
    </w:p>
    <w:p>
      <w:pPr>
        <w:numPr>
          <w:ilvl w:val="0"/>
          <w:numId w:val="1001"/>
        </w:numPr>
        <w:pStyle w:val="Compact"/>
      </w:pPr>
      <w:r>
        <w:rPr>
          <w:bCs/>
          <w:b/>
        </w:rPr>
        <w:t xml:space="preserve">Finding:</w:t>
      </w:r>
      <w:r>
        <w:t xml:space="preserve"> </w:t>
      </w:r>
      <w:r>
        <w:t xml:space="preserve">The blood smear was negative for malaria parasites. However, the CBC revealed mild leukocytosis with a predominance of neutrophils, suggesting a bacterial etiology rather than viral or parasitic.</w:t>
      </w:r>
    </w:p>
    <w:bookmarkEnd w:id="23"/>
    <w:bookmarkStart w:id="24" w:name="serological-and-antigen-testing"/>
    <w:p>
      <w:pPr>
        <w:pStyle w:val="Heading3"/>
      </w:pPr>
      <w:r>
        <w:t xml:space="preserve">3.2 Serological and Antigen Testing</w:t>
      </w:r>
    </w:p>
    <w:p>
      <w:pPr>
        <w:pStyle w:val="FirstParagraph"/>
      </w:pPr>
      <w:r>
        <w:t xml:space="preserve">Rapid Diagnostic Tests (RDTs) for Dengue Fever were administered. Additionally, Widal tests and blood culture sensitivity panels were ordered to investigate Typhoid Fever.</w:t>
      </w:r>
    </w:p>
    <w:p>
      <w:pPr>
        <w:numPr>
          <w:ilvl w:val="0"/>
          <w:numId w:val="1002"/>
        </w:numPr>
        <w:pStyle w:val="Compact"/>
      </w:pPr>
      <w:r>
        <w:rPr>
          <w:bCs/>
          <w:b/>
        </w:rPr>
        <w:t xml:space="preserve">Rationale:</w:t>
      </w:r>
      <w:r>
        <w:t xml:space="preserve"> </w:t>
      </w:r>
      <w:r>
        <w:t xml:space="preserve">Typhoid fever is highly endemic in Sudan Khartoum due to sanitation challenges and water contamination issues. Differentiating between uncomplicated typhoid and enteric fever is crucial for the Doctor General Practitioner to prescribe appropriate antibiotics.</w:t>
      </w:r>
    </w:p>
    <w:p>
      <w:pPr>
        <w:numPr>
          <w:ilvl w:val="0"/>
          <w:numId w:val="1002"/>
        </w:numPr>
        <w:pStyle w:val="Compact"/>
      </w:pPr>
      <w:r>
        <w:rPr>
          <w:bCs/>
          <w:b/>
        </w:rPr>
        <w:t xml:space="preserve">Finding:</w:t>
      </w:r>
      <w:r>
        <w:t xml:space="preserve"> </w:t>
      </w:r>
      <w:r>
        <w:t xml:space="preserve">The Widal test showed elevated titers of O antigen, while the Dengue RDT was negative. Blood cultures were sent to the central laboratory for final confirmation.</w:t>
      </w:r>
    </w:p>
    <w:bookmarkEnd w:id="24"/>
    <w:bookmarkStart w:id="25" w:name="urinalysis-and-schistosomiasis-screening"/>
    <w:p>
      <w:pPr>
        <w:pStyle w:val="Heading3"/>
      </w:pPr>
      <w:r>
        <w:t xml:space="preserve">3.3 Urinalysis and Schistosomiasis Screening</w:t>
      </w:r>
    </w:p>
    <w:p>
      <w:pPr>
        <w:pStyle w:val="FirstParagraph"/>
      </w:pPr>
      <w:r>
        <w:t xml:space="preserve">Given the patient's history of water exposure, a urinalysis was performed to check for hematuria and eggs indicative of *Schistosoma haematobium*.</w:t>
      </w:r>
    </w:p>
    <w:p>
      <w:pPr>
        <w:numPr>
          <w:ilvl w:val="0"/>
          <w:numId w:val="1003"/>
        </w:numPr>
        <w:pStyle w:val="Compact"/>
      </w:pPr>
      <w:r>
        <w:rPr>
          <w:bCs/>
          <w:b/>
        </w:rPr>
        <w:t xml:space="preserve">Rationale:</w:t>
      </w:r>
      <w:r>
        <w:t xml:space="preserve"> </w:t>
      </w:r>
      <w:r>
        <w:t xml:space="preserve">Schistosomiasis is hyper-endemic in Sudan Khartoum. The Doctor General Practitioner must remain vigilant for chronic cases presenting with vague symptoms like fatigue and abdominal pain.</w:t>
      </w:r>
    </w:p>
    <w:p>
      <w:pPr>
        <w:numPr>
          <w:ilvl w:val="0"/>
          <w:numId w:val="1003"/>
        </w:numPr>
        <w:pStyle w:val="Compact"/>
      </w:pPr>
      <w:r>
        <w:rPr>
          <w:bCs/>
          <w:b/>
        </w:rPr>
        <w:t xml:space="preserve">Finding:</w:t>
      </w:r>
      <w:r>
        <w:t xml:space="preserve"> </w:t>
      </w:r>
      <w:r>
        <w:t xml:space="preserve">Microscopy of the urine sediment was negative for schistosome eggs, reducing the likelihood of acute urinary bilharzia, though tissue infiltration cannot be entirely ruled out without further imaging.</w:t>
      </w:r>
    </w:p>
    <w:bookmarkEnd w:id="25"/>
    <w:bookmarkEnd w:id="26"/>
    <w:bookmarkStart w:id="27" w:name="X11b65d1979fd128bd0a0664339294659decf25e"/>
    <w:p>
      <w:pPr>
        <w:pStyle w:val="Heading2"/>
      </w:pPr>
      <w:r>
        <w:t xml:space="preserve">4. Integration of Results by the Doctor General Practitioner</w:t>
      </w:r>
    </w:p>
    <w:p>
      <w:pPr>
        <w:pStyle w:val="FirstParagraph"/>
      </w:pPr>
      <w:r>
        <w:t xml:space="preserve">The synthesis of these laboratory results allows the Doctor General Practitioner to refine the diagnosis. The combination of fever, abdominal pain, leukocytosis, and positive Widal titers strongly supports a preliminary diagnosis of Enteric Fever (Typhoid), which is highly prevalent in Sudan Khartoum. However, antibiotic resistance patterns in Sudan are a growing concern; therefore, the sensitivity report from the blood culture is critical before finalizing the prescription.</w:t>
      </w:r>
    </w:p>
    <w:p>
      <w:pPr>
        <w:pStyle w:val="BodyText"/>
      </w:pPr>
      <w:r>
        <w:t xml:space="preserve">The Doctor General Practitioner must also consider co-infections. It is not uncommon for patients in Sudan Khartoum to suffer from multiple comorbidities. Despite negative malaria results, if clinical suspicion remains high due to recurring fever spikes, a second set of smears may be required in 24 hours.</w:t>
      </w:r>
    </w:p>
    <w:bookmarkEnd w:id="27"/>
    <w:bookmarkStart w:id="28" w:name="X7460bf46b1aa29bc4c489d6db0bb46d22407f84"/>
    <w:p>
      <w:pPr>
        <w:pStyle w:val="Heading2"/>
      </w:pPr>
      <w:r>
        <w:t xml:space="preserve">5. Treatment Plan and Public Health Implications</w:t>
      </w:r>
    </w:p>
    <w:p>
      <w:pPr>
        <w:pStyle w:val="FirstParagraph"/>
      </w:pPr>
      <w:r>
        <w:t xml:space="preserve">Based on the provisional diagnosis, the Doctor General Practitioner initiated empirical treatment with Azithromycin, a preferred first-line agent in regions where fluoroquinolone resistance is common in Sudan Khartoum. The patient was advised to maintain strict hydration and return for follow-up if fever persisted beyond 72 hours.</w:t>
      </w:r>
    </w:p>
    <w:p>
      <w:pPr>
        <w:pStyle w:val="BodyText"/>
      </w:pPr>
      <w:r>
        <w:t xml:space="preserve">Furthermore, as part of his role as a frontline health provider, the Doctor General Practitioner documented this case in the national surveillance system. Reporting such cases in Sudan Khartoum is essential for tracking outbreak trends. The increase in typhoid cases during certain months may correlate with rainfall patterns and water quality fluctuations along the Nile.</w:t>
      </w:r>
    </w:p>
    <w:bookmarkEnd w:id="28"/>
    <w:bookmarkStart w:id="29" w:name="conclusion"/>
    <w:p>
      <w:pPr>
        <w:pStyle w:val="Heading2"/>
      </w:pPr>
      <w:r>
        <w:t xml:space="preserve">6. Conclusion</w:t>
      </w:r>
    </w:p>
    <w:p>
      <w:pPr>
        <w:pStyle w:val="FirstParagraph"/>
      </w:pPr>
      <w:r>
        <w:t xml:space="preserve">This laboratory report underscores the intricate relationship between diagnostic testing and primary care management in Sudan Khartoum. For a Doctor General Practitioner, proficiency is not merely in interpreting lab values but in contextualizing them within the local epidemiological reality. The ability to rapidly distinguish between Malaria, Typhoid, and Schistosomiasis saves lives and conserves limited medical resources.</w:t>
      </w:r>
    </w:p>
    <w:p>
      <w:pPr>
        <w:pStyle w:val="BodyText"/>
      </w:pPr>
      <w:r>
        <w:t xml:space="preserve">Future recommendations for primary care units in Sudan Khartoum include enhanced access to rapid molecular diagnostics (PCR) for difficult cases and continuous training for General Practitioners on emerging antibiotic resistance patterns. Effective collaboration between laboratory technicians and general practitioners remains the cornerstone of healthcare delivery in this region.</w:t>
      </w:r>
    </w:p>
    <w:p>
      <w:pPr>
        <w:pStyle w:val="BodyText"/>
      </w:pPr>
      <w:r>
        <w:rPr>
          <w:iCs/>
          <w:i/>
        </w:rPr>
        <w:t xml:space="preserve">This document is certified as accurate to the best of the Doctor General Practitioner's clinical knowledge and current laboratory capabilities in Sudan Khartoum.</w:t>
      </w:r>
    </w:p>
    <w:bookmarkEnd w:id="29"/>
    <w:p>
      <w:pPr>
        <w:pStyle w:val="BodyText"/>
      </w:pPr>
      <w:r>
        <w:br/>
      </w:r>
    </w:p>
    <w:p>
      <w:r>
        <w:pict>
          <v:rect style="width:0;height:1.5pt" o:hralign="center" o:hrstd="t" o:hr="t"/>
        </w:pict>
      </w:r>
    </w:p>
    <w:p>
      <w:pPr>
        <w:pStyle w:val="FirstParagraph"/>
      </w:pPr>
      <w:r>
        <w:t xml:space="preserve">End of Laboratory Report Document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and Clinical Diagnostic Report: Doctor General Practitioner Assessment in Sudan Khartoum</dc:title>
  <dc:creator/>
  <dc:language>en</dc:language>
  <cp:keywords/>
  <dcterms:created xsi:type="dcterms:W3CDTF">2026-07-29T05:10:57Z</dcterms:created>
  <dcterms:modified xsi:type="dcterms:W3CDTF">2026-07-29T05:10:57Z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