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Diagnostic</w:t>
      </w:r>
      <w:r>
        <w:t xml:space="preserve"> </w:t>
      </w:r>
      <w:r>
        <w:t xml:space="preserve">Report:</w:t>
      </w:r>
      <w:r>
        <w:t xml:space="preserve"> </w:t>
      </w:r>
      <w:r>
        <w:t xml:space="preserve">Primary</w:t>
      </w:r>
      <w:r>
        <w:t xml:space="preserve"> </w:t>
      </w:r>
      <w:r>
        <w:t xml:space="preserve">Care</w:t>
      </w:r>
      <w:r>
        <w:t xml:space="preserve"> </w:t>
      </w:r>
      <w:r>
        <w:t xml:space="preserve">Assessment</w:t>
      </w:r>
    </w:p>
    <w:p>
      <w:pPr>
        <w:pStyle w:val="FirstParagraph"/>
      </w:pPr>
      <w:r>
        <w:t xml:space="preserve">```html</w:t>
      </w:r>
    </w:p>
    <w:p>
      <w:pPr>
        <w:pStyle w:val="BodyText"/>
      </w:pPr>
      <w:r>
        <w:rPr>
          <w:bCs/>
          <w:b/>
        </w:rPr>
        <w:t xml:space="preserve">Patient Name:</w:t>
      </w:r>
      <w:r>
        <w:t xml:space="preserve">Jane Doe</w:t>
      </w:r>
      <w:r>
        <w:br/>
      </w:r>
      <w:r>
        <w:rPr>
          <w:bCs/>
          <w:b/>
        </w:rPr>
        <w:t xml:space="preserve">Date of Birth:</w:t>
      </w:r>
      <w:r>
        <w:t xml:space="preserve">05/12/1985</w:t>
      </w:r>
    </w:p>
    <w:p>
      <w:pPr>
        <w:pStyle w:val="BodyText"/>
      </w:pPr>
      <w:r>
        <w:t xml:space="preserve">&lt; strong &gt;Report ID:LA-2023-GP-9984&lt; br &gt;&lt; strong &gt;Date of Service:November 14, 2023</w:t>
      </w:r>
      <w:r>
        <w:br/>
      </w:r>
      <w:r>
        <w:rPr>
          <w:bCs/>
          <w:b/>
        </w:rPr>
        <w:t xml:space="preserve">Clinic Location:</w:t>
      </w:r>
      <w:r>
        <w:t xml:space="preserve">Downtown Los Angeles Medical Center</w:t>
      </w:r>
    </w:p>
    <w:bookmarkStart w:id="28" w:name="X65a4504c62147a77a59f6b519f7104db997730a"/>
    <w:p>
      <w:pPr>
        <w:pStyle w:val="Heading1"/>
      </w:pPr>
      <w:r>
        <w:t xml:space="preserve">Clinical Laboratory Report and General Practitioner Assessment Summary</w:t>
      </w:r>
    </w:p>
    <w:p>
      <w:pPr>
        <w:pStyle w:val="FirstParagraph"/>
      </w:pPr>
      <w:r>
        <w:rPr>
          <w:bCs/>
          <w:b/>
        </w:rPr>
        <w:t xml:space="preserve">To:</w:t>
      </w:r>
      <w:r>
        <w:t xml:space="preserve">Epic EHR System, United States Los Angeles Health Network</w:t>
      </w:r>
      <w:r>
        <w:br/>
      </w:r>
    </w:p>
    <w:p>
      <w:pPr>
        <w:pStyle w:val="BodyText"/>
      </w:pPr>
      <w:r>
        <w:t xml:space="preserve">Cc:Dr.Robert Chen (Specialist), Patient Portal</w:t>
      </w:r>
      <w:r>
        <w:br/>
      </w:r>
      <w:r>
        <w:rPr>
          <w:bCs/>
          <w:b/>
        </w:rPr>
        <w:t xml:space="preserve">Date Issued:</w:t>
      </w:r>
      <w:r>
        <w:t xml:space="preserve">November 15, 2023 at 09:45 AM PST</w:t>
      </w:r>
    </w:p>
    <w:bookmarkStart w:id="20" w:name="Xe500e4232b61b8335646b6dc000d99edc5e0930"/>
    <w:p>
      <w:pPr>
        <w:pStyle w:val="Heading2"/>
      </w:pPr>
      <w:r>
        <w:t xml:space="preserve">I. Executive Summary and Clinical Context</w:t>
      </w:r>
    </w:p>
    <w:p>
      <w:pPr>
        <w:pStyle w:val="FirstParagraph"/>
      </w:pPr>
      <w:r>
        <w:t xml:space="preserve">This comprehensive document serves as an official record of the diagnostic evaluations, laboratory analyses, and clinical observations conducted by a designated Doctor General Practitioner (GP) within the metropolitan healthcare framework of Los Angeles, United States. The purpose of this report is to consolidate biological data with clinical findings to establish a baseline health profile for the patient residing in</w:t>
      </w:r>
      <w:r>
        <w:t xml:space="preserve"> </w:t>
      </w:r>
      <w:r>
        <w:rPr>
          <w:bCs/>
          <w:b/>
        </w:rPr>
        <w:t xml:space="preserve">United States Los Angeles</w:t>
      </w:r>
      <w:r>
        <w:t xml:space="preserve">, ensuring continuity of care across various medical specialties and hospital systems.</w:t>
      </w:r>
    </w:p>
    <w:p>
      <w:pPr>
        <w:pStyle w:val="BodyText"/>
      </w:pPr>
      <w:r>
        <w:t xml:space="preserve">In the bustling medical environment of Los Angeles, where environmental factors such as air quality variability and high-stress occupational lifestyles are prevalent, accurate diagnostic interpretation by a Doctor General Practitioner is crucial. This report highlights the integration of standard biochemical markers with physical examinations to guide future preventive strategies and therapeutic interventions.</w:t>
      </w:r>
    </w:p>
    <w:bookmarkEnd w:id="20"/>
    <w:bookmarkStart w:id="21" w:name="ii.-laboratory-results-analysis"/>
    <w:p>
      <w:pPr>
        <w:pStyle w:val="Heading2"/>
      </w:pPr>
      <w:r>
        <w:t xml:space="preserve">II. Laboratory Results Analysis</w:t>
      </w:r>
    </w:p>
    <w:p>
      <w:pPr>
        <w:pStyle w:val="FirstParagraph"/>
      </w:pPr>
      <w:r>
        <w:t xml:space="preserve">The following laboratory parameters were analyzed using state-of-the-art automated analyzers compliant with CLIA (Clinical Laboratory Improvement Amendments) standards mandated in the United States. The results are presented below for immediate review by primary care and specialist teams.</w:t>
      </w:r>
    </w:p>
    <w:p>
      <w:pPr>
        <w:pStyle w:val="BodyText"/>
      </w:pPr>
      <w:r>
        <w:t xml:space="preserve">Clinical Parameter</w:t>
      </w:r>
    </w:p>
    <w:p>
      <w:pPr>
        <w:pStyle w:val="BodyText"/>
      </w:pPr>
      <w:r>
        <w:t xml:space="preserve">Patient Result</w:t>
      </w:r>
    </w:p>
    <w:p>
      <w:pPr>
        <w:pStyle w:val="BodyText"/>
      </w:pPr>
      <w:r>
        <w:t xml:space="preserve">Reference Range (Adult Female)</w:t>
      </w:r>
    </w:p>
    <w:p>
      <w:pPr>
        <w:pStyle w:val="BodyText"/>
      </w:pPr>
      <w:r>
        <w:t xml:space="preserve">Status</w:t>
      </w:r>
      <w:r>
        <w:t xml:space="preserve"> </w:t>
      </w:r>
      <w:r>
        <w:t xml:space="preserve">&lt; tbody &gt;&lt; tr&gt;</w:t>
      </w:r>
    </w:p>
    <w:p>
      <w:pPr>
        <w:pStyle w:val="BodyText"/>
      </w:pPr>
      <w:r>
        <w:t xml:space="preserve">Hemoglobin A1c (HbA1c)&lt; td&gt;5.4%&lt; /td&gt;</w:t>
      </w:r>
    </w:p>
    <w:p>
      <w:pPr>
        <w:pStyle w:val="BodyText"/>
      </w:pPr>
      <w:r>
        <w:t xml:space="preserve">4.0 - 5.6%</w:t>
      </w:r>
    </w:p>
    <w:p>
      <w:pPr>
        <w:pStyle w:val="BodyText"/>
      </w:pPr>
      <w:r>
        <w:t xml:space="preserve">Normal&lt; /span&gt;</w:t>
      </w:r>
    </w:p>
    <w:p>
      <w:pPr>
        <w:pStyle w:val="BodyText"/>
      </w:pPr>
      <w:r>
        <w:t xml:space="preserve">Total Cholesterol</w:t>
      </w:r>
    </w:p>
    <w:p>
      <w:pPr>
        <w:pStyle w:val="BodyText"/>
      </w:pPr>
      <w:r>
        <w:t xml:space="preserve">210 mg/dL</w:t>
      </w:r>
    </w:p>
    <w:p>
      <w:pPr>
        <w:pStyle w:val="BodyText"/>
      </w:pPr>
      <w:r>
        <w:t xml:space="preserve">&lt; 2 1 0 m g / d L&lt; / strong&gt;&lt; / th &gt;&lt; td style =" color : # d8 a73f ; font - weight : bold ; "&gt;Borderline High</w:t>
      </w:r>
    </w:p>
    <w:p>
      <w:pPr>
        <w:pStyle w:val="BodyText"/>
      </w:pPr>
      <w:r>
        <w:t xml:space="preserve">LDL Cholesterol (Low-Density Lipoprotein)</w:t>
      </w:r>
    </w:p>
    <w:p>
      <w:pPr>
        <w:pStyle w:val="BodyText"/>
      </w:pPr>
      <w:r>
        <w:t xml:space="preserve">135 mg/dL</w:t>
      </w:r>
    </w:p>
    <w:p>
      <w:pPr>
        <w:pStyle w:val="BodyText"/>
      </w:pPr>
      <w:r>
        <w:t xml:space="preserve">&lt; 1 2 7 m g / d L&lt; / strong&gt;&lt; / th &gt;&lt; td style =" color : # d8 a73f ; font - weight : bold ; "&gt;Elevated</w:t>
      </w:r>
    </w:p>
    <w:p>
      <w:pPr>
        <w:pStyle w:val="BodyText"/>
      </w:pPr>
      <w:r>
        <w:t xml:space="preserve">HDL Cholesterol (High-Density Lipoprotein)</w:t>
      </w:r>
    </w:p>
    <w:p>
      <w:pPr>
        <w:pStyle w:val="BodyText"/>
      </w:pPr>
      <w:r>
        <w:t xml:space="preserve">5 0 m g / d L&lt; / th &gt;&lt; th&gt;&gt;60 mg/dL is protective</w:t>
      </w:r>
    </w:p>
    <w:p>
      <w:pPr>
        <w:pStyle w:val="BodyText"/>
      </w:pPr>
      <w:r>
        <w:t xml:space="preserve">Low Protective</w:t>
      </w:r>
    </w:p>
    <w:p>
      <w:pPr>
        <w:pStyle w:val="BodyText"/>
      </w:pPr>
      <w:r>
        <w:t xml:space="preserve">TSH (Thyroid Stimulating Hormone)</w:t>
      </w:r>
    </w:p>
    <w:p>
      <w:pPr>
        <w:pStyle w:val="BodyText"/>
      </w:pPr>
      <w:r>
        <w:t xml:space="preserve">2.1 mIU/L</w:t>
      </w:r>
    </w:p>
    <w:p>
      <w:pPr>
        <w:pStyle w:val="BodyText"/>
      </w:pPr>
      <w:r>
        <w:t xml:space="preserve">Normal</w:t>
      </w:r>
    </w:p>
    <w:p>
      <w:pPr>
        <w:pStyle w:val="BodyText"/>
      </w:pPr>
      <w:r>
        <w:t xml:space="preserve">Vitamin D, 25-Hydroxy&lt; / th &gt;&lt; td&gt;19 ng / mL&lt; / td &gt;&lt; th&gt;&gt;30 ng / mL Optimal&lt; td style="color : # d8 a73f ; font - weight : bold;"&gt;Insufficient</w:t>
      </w:r>
    </w:p>
    <w:bookmarkEnd w:id="21"/>
    <w:bookmarkStart w:id="25" w:name="Xcb7228d6979580538f5424daa198be1abbb3670"/>
    <w:p>
      <w:pPr>
        <w:pStyle w:val="Heading2"/>
      </w:pPr>
      <w:r>
        <w:t xml:space="preserve">III. General Practitioner Clinical Interpretation</w:t>
      </w:r>
    </w:p>
    <w:p>
      <w:pPr>
        <w:pStyle w:val="FirstParagraph"/>
      </w:pPr>
      <w:r>
        <w:t xml:space="preserve">The interpreting physician, acting as the primary Doctor General Practitioner for this patient located in United States Los Angeles, has reviewed the above data in conjunction with a physical examination. The following clinical impressions have been recorded:</w:t>
      </w:r>
    </w:p>
    <w:bookmarkStart w:id="22" w:name="Xb733f6050e956955099bed7e83f9b94beed60fb"/>
    <w:p>
      <w:pPr>
        <w:pStyle w:val="Heading3"/>
      </w:pPr>
      <w:r>
        <w:t xml:space="preserve">A. Metabolic Health and Cardiovascular Risk</w:t>
      </w:r>
    </w:p>
    <w:p>
      <w:pPr>
        <w:pStyle w:val="FirstParagraph"/>
      </w:pPr>
      <w:r>
        <w:t xml:space="preserve">The most significant finding is the borderline elevation in total cholesterol and LDL levels. While HbA1c remains within normal limits, indicating good glycemic control, the lipid profile suggests early dyslipidemia. In the context of Los Angeles lifestyle factors—which often include high availability of processed foods despite a general health-conscious culture—dietary modifications are recommended as the first line of defense. The Doctor General Practitioner notes that without intervention, these markers could progress to pre-diabetic or hypertensive states over time.</w:t>
      </w:r>
    </w:p>
    <w:bookmarkEnd w:id="22"/>
    <w:bookmarkStart w:id="23" w:name="b.-nutritional-deficiencies"/>
    <w:p>
      <w:pPr>
        <w:pStyle w:val="Heading3"/>
      </w:pPr>
      <w:r>
        <w:t xml:space="preserve">B. Nutritional Deficiencies</w:t>
      </w:r>
    </w:p>
    <w:p>
      <w:pPr>
        <w:pStyle w:val="FirstParagraph"/>
      </w:pPr>
      <w:r>
        <w:t xml:space="preserve">Vitamin D insufficiency is a common diagnosis in urban centers due to lifestyle habits and indoor occupations. However, the level of 19 ng/dL indicates a deficiency that requires supplementation to maintain bone health and immune function. The Doctor General Practitioner has prescribed a high-dose Vitamin D2 regimen for 8 weeks, followed by re-testing.</w:t>
      </w:r>
    </w:p>
    <w:bookmarkEnd w:id="23"/>
    <w:bookmarkStart w:id="24" w:name="c.-endocrine-function"/>
    <w:p>
      <w:pPr>
        <w:pStyle w:val="Heading3"/>
      </w:pPr>
      <w:r>
        <w:t xml:space="preserve">C. Endocrine Function</w:t>
      </w:r>
    </w:p>
    <w:p>
      <w:pPr>
        <w:pStyle w:val="FirstParagraph"/>
      </w:pPr>
      <w:r>
        <w:t xml:space="preserve">The TSH levels are optimal, effectively ruling out primary hypothyroidism or hyperthyroidism as contributing factors to the patient's reported fatigue. This allows the Doctor General Practitioner to focus on non-thyroid causes for lethargy, such as stress management or sleep hygiene.</w:t>
      </w:r>
    </w:p>
    <w:bookmarkEnd w:id="24"/>
    <w:bookmarkEnd w:id="25"/>
    <w:bookmarkStart w:id="26" w:name="iv.-recommendations-and-care-plan"/>
    <w:p>
      <w:pPr>
        <w:pStyle w:val="Heading2"/>
      </w:pPr>
      <w:r>
        <w:t xml:space="preserve">IV. Recommendations and Care Plan</w:t>
      </w:r>
    </w:p>
    <w:p>
      <w:pPr>
        <w:pStyle w:val="FirstParagraph"/>
      </w:pPr>
      <w:r>
        <w:t xml:space="preserve">To optimize health outcomes within the United States healthcare system, specifically adhering to preventative care guidelines utilized in Los Angeles clinics, the following plan is established:</w:t>
      </w:r>
    </w:p>
    <w:p>
      <w:pPr>
        <w:numPr>
          <w:ilvl w:val="0"/>
          <w:numId w:val="1001"/>
        </w:numPr>
        <w:pStyle w:val="Compact"/>
      </w:pPr>
      <w:r>
        <w:rPr>
          <w:bCs/>
          <w:b/>
        </w:rPr>
        <w:t xml:space="preserve">Dietary Adjustment:</w:t>
      </w:r>
      <w:r>
        <w:t xml:space="preserve"> </w:t>
      </w:r>
      <w:r>
        <w:t xml:space="preserve">Adopt a Mediterranean-style diet rich in omega-3 fatty acids and fiber to address lipid abnormalities. Avoidance of saturated fats common in fast-food chains prevalent throughout Los Angeles.</w:t>
      </w:r>
    </w:p>
    <w:p>
      <w:pPr>
        <w:numPr>
          <w:ilvl w:val="0"/>
          <w:numId w:val="1001"/>
        </w:numPr>
        <w:pStyle w:val="Compact"/>
      </w:pPr>
      <w:r>
        <w:rPr>
          <w:bCs/>
          <w:b/>
        </w:rPr>
        <w:t xml:space="preserve">Supplementation:</w:t>
      </w:r>
      <w:r>
        <w:t xml:space="preserve"> </w:t>
      </w:r>
      <w:r>
        <w:t xml:space="preserve">Commence Vitamin D3 supplementation (5,000 IU daily) as prescribed.</w:t>
      </w:r>
    </w:p>
    <w:p>
      <w:pPr>
        <w:numPr>
          <w:ilvl w:val="0"/>
          <w:numId w:val="1001"/>
        </w:numPr>
        <w:pStyle w:val="Compact"/>
      </w:pPr>
      <w:r>
        <w:rPr>
          <w:bCs/>
          <w:b/>
        </w:rPr>
        <w:t xml:space="preserve">Scheduled Follow-Up:Re-evaluation of lipid panel and vitamin levels in 12 weeks. The Doctor General Practitioner emphasizes the importance of consistency to monitor progress without immediate pharmacological intervention (statins), in line with current US preventive service task force recommendations for low-risk patients.</w:t>
      </w:r>
    </w:p>
    <w:p>
      <w:pPr>
        <w:numPr>
          <w:ilvl w:val="0"/>
          <w:numId w:val="1001"/>
        </w:numPr>
        <w:pStyle w:val="Compact"/>
      </w:pPr>
      <w:r>
        <w:t xml:space="preserve">Environmental Considerations:Given Los Angeles air quality fluctuations, the patient is advised to monitor daily Air Quality Index (AQI) reports and limit outdoor high-intensity exercise on days when AQI exceeds 100.</w:t>
      </w:r>
    </w:p>
    <w:bookmarkEnd w:id="26"/>
    <w:bookmarkStart w:id="27" w:name="v.-conclusion"/>
    <w:p>
      <w:pPr>
        <w:pStyle w:val="Heading2"/>
      </w:pPr>
      <w:r>
        <w:t xml:space="preserve">V. Conclusion</w:t>
      </w:r>
    </w:p>
    <w:p>
      <w:pPr>
        <w:pStyle w:val="FirstParagraph"/>
      </w:pPr>
      <w:r>
        <w:t xml:space="preserve">This laboratory report serves as a critical instrument in the hands of the Doctor General Practitioner, bridging raw data with holistic patient care. By accurately identifying metabolic and nutritional gaps early, we aim to prevent chronic disease progression. The integration of this report into the broader electronic health record ensures that any specialist consulted in United States Los Angeles—be it a cardiologist or endocrinologist—will have access to these vital diagnostic baselines.</w:t>
      </w:r>
    </w:p>
    <w:p>
      <w:pPr>
        <w:pStyle w:val="BodyText"/>
      </w:pPr>
      <w:r>
        <w:t xml:space="preserve">The proactive approach demonstrated here underscores the value of primary care as the central hub for medical coordination. The Doctor General Practitioner reaffirms their commitment to monitoring these parameters closely, ensuring that the patient's journey toward optimal wellness is evidence-based and personalized.</w:t>
      </w:r>
    </w:p>
    <w:p>
      <w:pPr>
        <w:pStyle w:val="BodyText"/>
      </w:pPr>
      <w:r>
        <w:rPr>
          <w:bCs/>
          <w:b/>
        </w:rPr>
        <w:t xml:space="preserve">Electronically Signed By:</w:t>
      </w:r>
      <w:r>
        <w:br/>
      </w:r>
      <w:r>
        <w:t xml:space="preserve">Dr. Amanda Sterling, MD&lt; br &gt;</w:t>
      </w:r>
      <w:r>
        <w:t xml:space="preserve"> </w:t>
      </w:r>
      <w:r>
        <w:t xml:space="preserve">Board Certified Physician &amp; Doctor General Practitioner&lt; br &gt;</w:t>
      </w:r>
      <w:r>
        <w:t xml:space="preserve"> </w:t>
      </w:r>
      <w:r>
        <w:t xml:space="preserve">Los Angeles Medical Group</w:t>
      </w:r>
      <w:r>
        <w:br/>
      </w:r>
      <w:r>
        <w:t xml:space="preserve">License #:D12345678 (State of California)</w:t>
      </w:r>
      <w:r>
        <w:br/>
      </w:r>
    </w:p>
    <w:p>
      <w:pPr>
        <w:pStyle w:val="BodyText"/>
      </w:pPr>
      <w:r>
        <w:t xml:space="preserve">Disclaimer: This document is confidential and intended solely for the use of the patient and healthcare providers involved in their care. Unauthorized reproduction or distribution is prohibited under HIPAA regulations enforced within the United States.</w:t>
      </w:r>
      <w:r>
        <w:br/>
      </w:r>
      <w:r>
        <w:rPr>
          <w:bCs/>
          <w:b/>
        </w:rPr>
        <w:t xml:space="preserve">Location Code:</w:t>
      </w:r>
      <w:r>
        <w:t xml:space="preserve"> </w:t>
      </w:r>
      <w:r>
        <w:t xml:space="preserve">LA-CENTRAL-UNIT-04</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Diagnostic Report: Primary Care Assessment</dc:title>
  <dc:creator/>
  <dc:language>en</dc:language>
  <cp:keywords/>
  <dcterms:created xsi:type="dcterms:W3CDTF">2026-07-29T17:03:05Z</dcterms:created>
  <dcterms:modified xsi:type="dcterms:W3CDTF">2026-07-29T17:03:05Z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