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Medical</w:t>
      </w:r>
      <w:r>
        <w:t xml:space="preserve"> </w:t>
      </w:r>
      <w:r>
        <w:t xml:space="preserve">Lab</w:t>
      </w:r>
      <w:r>
        <w:t xml:space="preserve"> </w:t>
      </w:r>
      <w:r>
        <w:t xml:space="preserve">Report:</w:t>
      </w:r>
      <w:r>
        <w:t xml:space="preserve"> </w:t>
      </w:r>
      <w:r>
        <w:t xml:space="preserve">General</w:t>
      </w:r>
      <w:r>
        <w:t xml:space="preserve"> </w:t>
      </w:r>
      <w:r>
        <w:t xml:space="preserve">Practitioner</w:t>
      </w:r>
      <w:r>
        <w:t xml:space="preserve"> </w:t>
      </w:r>
      <w:r>
        <w:t xml:space="preserve">Assessment</w:t>
      </w:r>
    </w:p>
    <w:bookmarkStart w:id="20" w:name="X76412e06e000d7c7cc847d27a5e4fe403bf91d4"/>
    <w:p>
      <w:pPr>
        <w:pStyle w:val="Heading1"/>
      </w:pPr>
      <w:r>
        <w:t xml:space="preserve">Patient Medical Evaluation &amp; Laboratory Analysis Report</w:t>
      </w:r>
    </w:p>
    <w:p>
      <w:pPr>
        <w:pStyle w:val="FirstParagraph"/>
      </w:pPr>
      <w:r>
        <w:rPr>
          <w:bCs/>
          <w:b/>
        </w:rPr>
        <w:t xml:space="preserve">Institution:</w:t>
      </w:r>
      <w:r>
        <w:t xml:space="preserve"> </w:t>
      </w:r>
      <w:r>
        <w:t xml:space="preserve">Metropolitan Health Center</w:t>
      </w:r>
      <w:r>
        <w:br/>
      </w:r>
      <w:r>
        <w:rPr>
          <w:bCs/>
          <w:b/>
        </w:rPr>
        <w:t xml:space="preserve">Jurisdiction:</w:t>
      </w:r>
      <w:r>
        <w:rPr>
          <w:iCs/>
          <w:i/>
        </w:rPr>
        <w:t xml:space="preserve">United States New York City</w:t>
      </w:r>
      <w:r>
        <w:br/>
      </w:r>
      <w:r>
        <w:rPr>
          <w:bCs/>
          <w:b/>
        </w:rPr>
        <w:t xml:space="preserve">Department:</w:t>
      </w:r>
      <w:r>
        <w:t xml:space="preserve"> </w:t>
      </w:r>
      <w:r>
        <w:t xml:space="preserve">General Practice &amp; Internal Medicine</w:t>
      </w:r>
      <w:r>
        <w:br/>
      </w:r>
      <w:r>
        <w:rPr>
          <w:bCs/>
          <w:b/>
        </w:rPr>
        <w:t xml:space="preserve">Date of Report:</w:t>
      </w:r>
      <w:r>
        <w:t xml:space="preserve"> </w:t>
      </w:r>
      <w:r>
        <w:t xml:space="preserve">October 26, 2023</w:t>
      </w:r>
      <w:r>
        <w:br/>
      </w:r>
      <w:r>
        <w:rPr>
          <w:bCs/>
          <w:b/>
        </w:rPr>
        <w:t xml:space="preserve">Patient ID:</w:t>
      </w:r>
      <w:r>
        <w:t xml:space="preserve"> </w:t>
      </w:r>
      <w:r>
        <w:t xml:space="preserve">NY-8842-BX</w:t>
      </w:r>
    </w:p>
    <w:bookmarkEnd w:id="20"/>
    <w:bookmarkStart w:id="21" w:name="i.-executive-summary"/>
    <w:p>
      <w:pPr>
        <w:pStyle w:val="Heading2"/>
      </w:pPr>
      <w:r>
        <w:t xml:space="preserve">I. Executive Summary</w:t>
      </w:r>
    </w:p>
    <w:p>
      <w:pPr>
        <w:pStyle w:val="FirstParagraph"/>
      </w:pPr>
      <w:r>
        <w:t xml:space="preserve">This comprehensive laboratory report outlines the clinical findings, diagnostic assessments, and subsequent medical recommendations for a patient presenting to a primary care facility within the bustling metropolitan landscape of New York City. The evaluation was conducted under the direct supervision of a licensed Doctor General Practitioner (GP), ensuring that all procedures adhere strictly to the rigorous standards mandated by both federal health guidelines and local municipal health codes in</w:t>
      </w:r>
      <w:r>
        <w:t xml:space="preserve"> </w:t>
      </w:r>
      <w:r>
        <w:rPr>
          <w:iCs/>
          <w:i/>
        </w:rPr>
        <w:t xml:space="preserve">United States New York City</w:t>
      </w:r>
      <w:r>
        <w:t xml:space="preserve">. As a critical hub for diverse populations, the healthcare infrastructure here demands precision, cultural competence, and rapid diagnostic capabilities. This document serves as an official record of the patient’s physiological status following a routine yet thorough physical examination.</w:t>
      </w:r>
    </w:p>
    <w:bookmarkEnd w:id="21"/>
    <w:bookmarkStart w:id="22" w:name="ii.-patient-history-chief-complaints"/>
    <w:p>
      <w:pPr>
        <w:pStyle w:val="Heading2"/>
      </w:pPr>
      <w:r>
        <w:t xml:space="preserve">II. Patient History &amp; Chief Complaints</w:t>
      </w:r>
    </w:p>
    <w:p>
      <w:pPr>
        <w:pStyle w:val="FirstParagraph"/>
      </w:pPr>
      <w:r>
        <w:t xml:space="preserve">The patient is a 45-year-old male with no significant prior surgical history, presenting with complaints of persistent fatigue, mild shortness of breath during exertion, and intermittent headaches. Given the high-stress environment inherent to professional life in</w:t>
      </w:r>
      <w:r>
        <w:t xml:space="preserve"> </w:t>
      </w:r>
      <w:r>
        <w:rPr>
          <w:iCs/>
          <w:i/>
        </w:rPr>
        <w:t xml:space="preserve">United States New York City</w:t>
      </w:r>
      <w:r>
        <w:t xml:space="preserve">, occupational stress was considered a primary differential diagnosis. However, the Doctor General Practitioner opted for a holistic approach, ruling out physiological causes before attributing symptoms to lifestyle factors. The patient reported no recent travel outside the tri-state area but noted increased exposure to urban pollutants and irregular sleep patterns due to work demands.</w:t>
      </w:r>
    </w:p>
    <w:bookmarkEnd w:id="22"/>
    <w:bookmarkStart w:id="23" w:name="iii.-clinical-examination-findings"/>
    <w:p>
      <w:pPr>
        <w:pStyle w:val="Heading2"/>
      </w:pPr>
      <w:r>
        <w:t xml:space="preserve">III. Clinical Examination Findings</w:t>
      </w:r>
    </w:p>
    <w:p>
      <w:pPr>
        <w:pStyle w:val="FirstParagraph"/>
      </w:pPr>
      <w:r>
        <w:t xml:space="preserve">The physical examination was performed in a standard clinical setting equipped with state-of-the-art diagnostic tools. Vital signs were recorded as follows: Blood Pressure 138/85 mmHg (Stage 1 Hypertension range), Heart Rate 78 bpm, Respiratory Rate 16 breaths per minute, and Temperature 98.6°F (37°C). Auscultation of the heart revealed no murmurs or irregular rhythms, while lung fields were clear bilaterally. The Doctor General Practitioner noted slight pallor in the conjunctiva, suggesting potential anemia or fatigue-related vascular changes.</w:t>
      </w:r>
    </w:p>
    <w:bookmarkEnd w:id="23"/>
    <w:bookmarkStart w:id="24" w:name="X7e831914b61a279a924a0d5737439db5627d6ad"/>
    <w:p>
      <w:pPr>
        <w:pStyle w:val="Heading2"/>
      </w:pPr>
      <w:r>
        <w:t xml:space="preserve">IV. Laboratory Results &amp; Diagnostic Analysis</w:t>
      </w:r>
    </w:p>
    <w:p>
      <w:pPr>
        <w:pStyle w:val="FirstParagraph"/>
      </w:pPr>
      <w:r>
        <w:t xml:space="preserve">To further investigate the patient’s symptoms, a panel of laboratory tests was ordered. These tests are standard protocol for any comprehensive health screening in a major urban center like New York City, ensuring early detection of common metabolic and cardiovascular disorders.</w:t>
      </w:r>
    </w:p>
    <w:p>
      <w:pPr>
        <w:pStyle w:val="BodyText"/>
      </w:pPr>
      <w:r>
        <w:t xml:space="preserve">Test Parameter</w:t>
      </w:r>
    </w:p>
    <w:bookmarkEnd w:id="24"/>
    <w:p>
      <w:pPr>
        <w:pStyle w:val="BodyText"/>
      </w:pPr>
      <w:r>
        <w:t xml:space="preserve">Patient Result</w:t>
      </w:r>
    </w:p>
    <w:p>
      <w:pPr>
        <w:pStyle w:val="BodyText"/>
      </w:pPr>
      <w:r>
        <w:t xml:space="preserve">Reference Range</w:t>
      </w:r>
    </w:p>
    <w:p>
      <w:pPr>
        <w:pStyle w:val="BodyText"/>
      </w:pPr>
      <w:r>
        <w:t xml:space="preserve">Status</w:t>
      </w:r>
    </w:p>
    <w:p>
      <w:pPr>
        <w:pStyle w:val="BodyText"/>
      </w:pPr>
      <w:r>
        <w:t xml:space="preserve">Hemoglobin (Hgb)</w:t>
      </w:r>
    </w:p>
    <w:p>
      <w:pPr>
        <w:pStyle w:val="BodyText"/>
      </w:pPr>
      <w:r>
        <w:t xml:space="preserve">12.8 g/dL</w:t>
      </w:r>
    </w:p>
    <w:p>
      <w:pPr>
        <w:pStyle w:val="BodyText"/>
      </w:pPr>
      <w:r>
        <w:t xml:space="preserve">13.5 – 17.5 g/dL</w:t>
      </w:r>
    </w:p>
    <w:p>
      <w:pPr>
        <w:pStyle w:val="BodyText"/>
      </w:pPr>
      <w:r>
        <w:t xml:space="preserve">Low (Anemia)</w:t>
      </w:r>
    </w:p>
    <w:p>
      <w:pPr>
        <w:pStyle w:val="BodyText"/>
      </w:pPr>
      <w:r>
        <w:t xml:space="preserve">Note: The hemoglobin level indicates mild anemia, which correlates with the patient’s reported fatigue and pallor.</w:t>
      </w:r>
    </w:p>
    <w:p>
      <w:pPr>
        <w:pStyle w:val="BodyText"/>
      </w:pPr>
      <w:r>
        <w:t xml:space="preserve">Fasting Glucose</w:t>
      </w:r>
    </w:p>
    <w:p>
      <w:pPr>
        <w:pStyle w:val="BodyText"/>
      </w:pPr>
      <w:r>
        <w:t xml:space="preserve">92 mg/dL</w:t>
      </w:r>
    </w:p>
    <w:p>
      <w:pPr>
        <w:pStyle w:val="BodyText"/>
      </w:pPr>
      <w:r>
        <w:t xml:space="preserve">70 – 99 mg/dL</w:t>
      </w:r>
    </w:p>
    <w:p>
      <w:pPr>
        <w:pStyle w:val="BodyText"/>
      </w:pPr>
      <w:r>
        <w:t xml:space="preserve">Fasting glucose levels are within normal limits, effectively ruling out diabetes mellitus at this stage.</w:t>
      </w:r>
    </w:p>
    <w:p>
      <w:pPr>
        <w:pStyle w:val="BodyText"/>
      </w:pPr>
      <w:r>
        <w:t xml:space="preserve">Total Cholesterol</w:t>
      </w:r>
    </w:p>
    <w:p>
      <w:pPr>
        <w:pStyle w:val="BodyText"/>
      </w:pPr>
      <w:r>
        <w:t xml:space="preserve">210 mg/dL</w:t>
      </w:r>
    </w:p>
    <w:p>
      <w:pPr>
        <w:pStyle w:val="BodyText"/>
      </w:pPr>
      <w:r>
        <w:t xml:space="preserve">&lt; 200 mg/dL</w:t>
      </w:r>
    </w:p>
    <w:p>
      <w:pPr>
        <w:pStyle w:val="BodyText"/>
      </w:pPr>
      <w:r>
        <w:t xml:space="preserve">Total cholesterol is slightly elevated, a common finding among urban residents with high-stress lifestyles and limited time for exercise.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Vitamin D (25-OH)</w:t>
            </w:r>
          </w:p>
        </w:tc>
        <w:tc>
          <w:tcPr/>
          <w:p>
            <w:pPr>
              <w:pStyle w:val="Compact"/>
              <w:jc w:val="left"/>
            </w:pPr>
            <w:r>
              <w:t xml:space="preserve">18 ng/mL</w:t>
            </w:r>
          </w:p>
        </w:tc>
        <w:tc>
          <w:tcPr/>
          <w:p>
            <w:pPr>
              <w:pStyle w:val="Compact"/>
              <w:jc w:val="left"/>
            </w:pPr>
            <w:r>
              <w:t xml:space="preserve">30 – 100 ng/mL</w:t>
            </w:r>
          </w:p>
        </w:tc>
      </w:tr>
    </w:tbl>
    <w:p>
      <w:pPr>
        <w:pStyle w:val="BodyText"/>
      </w:pPr>
      <w:r>
        <w:t xml:space="preserve">Vitamin D deficiency is significant. This is particularly prevalent in individuals working indoors in skyscrapers, common in</w:t>
      </w:r>
      <w:r>
        <w:t xml:space="preserve"> </w:t>
      </w:r>
      <w:r>
        <w:rPr>
          <w:iCs/>
          <w:i/>
        </w:rPr>
        <w:t xml:space="preserve">United States New York City</w:t>
      </w:r>
      <w:r>
        <w:t xml:space="preserve">.</w:t>
      </w:r>
    </w:p>
    <w:p>
      <w:pPr>
        <w:pStyle w:val="BodyText"/>
      </w:pPr>
      <w:r>
        <w:t xml:space="preserve">C-Reactive Protein (CRP)</w:t>
      </w:r>
    </w:p>
    <w:p>
      <w:pPr>
        <w:pStyle w:val="BodyText"/>
      </w:pPr>
      <w:r>
        <w:t xml:space="preserve">1.2 mg/L</w:t>
      </w:r>
    </w:p>
    <w:p>
      <w:pPr>
        <w:pStyle w:val="BodyText"/>
      </w:pPr>
      <w:r>
        <w:t xml:space="preserve">Inflammatory markers are low, indicating no acute systemic inflammation.</w:t>
      </w:r>
    </w:p>
    <w:p>
      <w:pPr>
        <w:pStyle w:val="BodyText"/>
      </w:pPr>
      <w:r>
        <w:rPr>
          <w:bCs/>
          <w:b/>
        </w:rPr>
        <w:t xml:space="preserve">Clinical Note:</w:t>
      </w:r>
      <w:r>
        <w:t xml:space="preserve">The Doctor General Practitioner emphasizes that the combination of Vitamin D deficiency and mild anemia is likely contributing to the patient’s chronic fatigue. These conditions are often exacerbated by the sedentary lifestyle and indoor-centric culture typical of city professionals in Manhattan.</w:t>
      </w:r>
    </w:p>
    <w:bookmarkStart w:id="25" w:name="v.-assessment-diagnosis"/>
    <w:p>
      <w:pPr>
        <w:pStyle w:val="Heading2"/>
      </w:pPr>
      <w:r>
        <w:t xml:space="preserve">V. Assessment &amp; Diagnosis</w:t>
      </w:r>
    </w:p>
    <w:p>
      <w:pPr>
        <w:pStyle w:val="FirstParagraph"/>
      </w:pPr>
      <w:r>
        <w:rPr>
          <w:bCs/>
          <w:b/>
        </w:rPr>
        <w:t xml:space="preserve">S1:</w:t>
      </w:r>
      <w:r>
        <w:t xml:space="preserve">Mild Iron-Deficiency Anemia</w:t>
      </w:r>
      <w:r>
        <w:br/>
      </w:r>
      <w:r>
        <w:t xml:space="preserve">S2: Vitamin D Deficiency</w:t>
      </w:r>
      <w:r>
        <w:br/>
      </w:r>
      <w:r>
        <w:t xml:space="preserve">S3: Stage 1 Hypertension (Pre-hypertensive)</w:t>
      </w:r>
      <w:r>
        <w:br/>
      </w:r>
      <w:r>
        <w:t xml:space="preserve">S4: Lifestyle-related fatigue and stress</w:t>
      </w:r>
    </w:p>
    <w:p>
      <w:pPr>
        <w:pStyle w:val="BodyText"/>
      </w:pPr>
      <w:r>
        <w:t xml:space="preserve">The Doctor General Practitioner has determined that the patient’s primary health issues are metabolic and nutritional in nature, rather than structural or infectious. The diagnosis aligns with typical presentations observed in the urban demographic of</w:t>
      </w:r>
      <w:r>
        <w:t xml:space="preserve"> </w:t>
      </w:r>
      <w:r>
        <w:rPr>
          <w:iCs/>
          <w:i/>
        </w:rPr>
        <w:t xml:space="preserve">United States New York City</w:t>
      </w:r>
      <w:r>
        <w:t xml:space="preserve">, where environmental factors, dietary habits, and occupational stress play a pivotal role in general health outcomes.</w:t>
      </w:r>
    </w:p>
    <w:bookmarkEnd w:id="25"/>
    <w:bookmarkStart w:id="26" w:name="vi.-treatment-plan-recommendations"/>
    <w:p>
      <w:pPr>
        <w:pStyle w:val="Heading2"/>
      </w:pPr>
      <w:r>
        <w:t xml:space="preserve">VI. Treatment Plan &amp; Recommendations</w:t>
      </w:r>
    </w:p>
    <w:p>
      <w:pPr>
        <w:numPr>
          <w:ilvl w:val="0"/>
          <w:numId w:val="1001"/>
        </w:numPr>
        <w:pStyle w:val="Compact"/>
      </w:pPr>
      <w:r>
        <w:rPr>
          <w:bCs/>
          <w:b/>
        </w:rPr>
        <w:t xml:space="preserve">Nutritional Supplementation:</w:t>
      </w:r>
      <w:r>
        <w:t xml:space="preserve">The patient is prescribed Ferrous Sulfate 325mg once daily for anemia and Cholecalciferol (Vitamin D3) 5000 IU daily for eight weeks. This intervention aims to restore hemoglobin levels and correct Vitamin D deficiency.</w:t>
      </w:r>
    </w:p>
    <w:p>
      <w:pPr>
        <w:numPr>
          <w:ilvl w:val="0"/>
          <w:numId w:val="1001"/>
        </w:numPr>
        <w:pStyle w:val="Compact"/>
      </w:pPr>
      <w:r>
        <w:rPr>
          <w:bCs/>
          <w:b/>
        </w:rPr>
        <w:t xml:space="preserve">Dietary Modifications:</w:t>
      </w:r>
      <w:r>
        <w:t xml:space="preserve">The patient is advised to increase intake of iron-rich foods such as leafy greens, red meat, and legumes. Additionally, reducing sodium intake is recommended to manage blood pressure.</w:t>
      </w:r>
    </w:p>
    <w:p>
      <w:pPr>
        <w:numPr>
          <w:ilvl w:val="0"/>
          <w:numId w:val="1001"/>
        </w:numPr>
        <w:pStyle w:val="Compact"/>
      </w:pPr>
      <w:r>
        <w:rPr>
          <w:bCs/>
          <w:b/>
        </w:rPr>
        <w:t xml:space="preserve">Lifestyle Adjustments:</w:t>
      </w:r>
      <w:r>
        <w:t xml:space="preserve">To combat the effects of city life in</w:t>
      </w:r>
      <w:r>
        <w:t xml:space="preserve"> </w:t>
      </w:r>
      <w:r>
        <w:rPr>
          <w:iCs/>
          <w:i/>
        </w:rPr>
        <w:t xml:space="preserve">United States New York City</w:t>
      </w:r>
      <w:r>
        <w:t xml:space="preserve">, the Doctor General Practitioner recommends at least 30 minutes of outdoor moderate exercise five days a week. Exposure to natural sunlight is critical for Vitamin D synthesis.</w:t>
      </w:r>
    </w:p>
    <w:p>
      <w:pPr>
        <w:numPr>
          <w:ilvl w:val="0"/>
          <w:numId w:val="1001"/>
        </w:numPr>
        <w:pStyle w:val="Compact"/>
      </w:pPr>
      <w:r>
        <w:rPr>
          <w:bCs/>
          <w:b/>
        </w:rPr>
        <w:t xml:space="preserve">Follow-up:</w:t>
      </w:r>
      <w:r>
        <w:t xml:space="preserve">A repeat blood panel is scheduled in 12 weeks to monitor the efficacy of the supplementation and assess blood pressure trends. The patient will also receive referrals to a nutritionist if dietary adherence proves difficult.</w:t>
      </w:r>
    </w:p>
    <w:bookmarkEnd w:id="26"/>
    <w:bookmarkStart w:id="27" w:name="vii.-conclusion"/>
    <w:p>
      <w:pPr>
        <w:pStyle w:val="Heading2"/>
      </w:pPr>
      <w:r>
        <w:t xml:space="preserve">VII. Conclusion</w:t>
      </w:r>
    </w:p>
    <w:p>
      <w:pPr>
        <w:pStyle w:val="FirstParagraph"/>
      </w:pPr>
      <w:r>
        <w:t xml:space="preserve">This laboratory report underscores the importance of regular medical screenings in high-density urban environments like</w:t>
      </w:r>
      <w:r>
        <w:t xml:space="preserve"> </w:t>
      </w:r>
      <w:r>
        <w:rPr>
          <w:iCs/>
          <w:i/>
        </w:rPr>
        <w:t xml:space="preserve">United States New York City</w:t>
      </w:r>
      <w:r>
        <w:t xml:space="preserve">. The Doctor General Practitioner’s assessment highlights how modern urban lifestyles can silently impact metabolic health through deficiencies and stress-induced conditions. By addressing these issues proactively, the patient can mitigate long-term health risks associated with hypertension and chronic fatigue.</w:t>
      </w:r>
    </w:p>
    <w:p>
      <w:pPr>
        <w:pStyle w:val="BodyText"/>
      </w:pPr>
      <w:r>
        <w:t xml:space="preserve">It is imperative that patients understand their body’s signals and seek timely medical advice. The integration of advanced laboratory diagnostics with personalized care plans ensures that individuals in</w:t>
      </w:r>
      <w:r>
        <w:t xml:space="preserve"> </w:t>
      </w:r>
      <w:r>
        <w:rPr>
          <w:iCs/>
          <w:i/>
        </w:rPr>
        <w:t xml:space="preserve">United States New York City</w:t>
      </w:r>
      <w:r>
        <w:t xml:space="preserve"> </w:t>
      </w:r>
      <w:r>
        <w:t xml:space="preserve">can maintain optimal health despite the challenges of urban living.</w:t>
      </w:r>
    </w:p>
    <w:p>
      <w:pPr>
        <w:pStyle w:val="BodyText"/>
      </w:pPr>
      <w:r>
        <w:t xml:space="preserve">This document serves as an official record for insurance purposes, future clinical reference, and public health data aggregation within the local healthcare network. All information contained herein is confidential and protected under HIPAA regulations.</w:t>
      </w:r>
    </w:p>
    <w:bookmarkEnd w:id="27"/>
    <w:p>
      <w:pPr>
        <w:pStyle w:val="BodyText"/>
      </w:pPr>
      <w:r>
        <w:rPr>
          <w:bCs/>
          <w:b/>
        </w:rPr>
        <w:t xml:space="preserve">Physician Signature:</w:t>
      </w:r>
      <w:r>
        <w:br/>
      </w:r>
      <w:r>
        <w:t xml:space="preserve">_________________________________________</w:t>
      </w:r>
      <w:r>
        <w:br/>
      </w:r>
      <w:r>
        <w:t xml:space="preserve">Dr. Sarah J. Thompson, MD</w:t>
      </w:r>
      <w:r>
        <w:br/>
      </w:r>
      <w:r>
        <w:t xml:space="preserve">Board Certified General Practitioner</w:t>
      </w:r>
      <w:r>
        <w:br/>
      </w:r>
      <w:r>
        <w:rPr>
          <w:iCs/>
          <w:i/>
        </w:rPr>
        <w:t xml:space="preserve">United States New York City</w:t>
      </w:r>
      <w:r>
        <w:t xml:space="preserve"> </w:t>
      </w:r>
      <w:r>
        <w:t xml:space="preserve">Medical Board Licensed</w:t>
      </w:r>
      <w:r>
        <w:br/>
      </w:r>
      <w:r>
        <w:rPr>
          <w:bCs/>
          <w:b/>
        </w:rPr>
        <w:t xml:space="preserve">Date Signed:</w:t>
      </w:r>
      <w:r>
        <w:t xml:space="preserve"> </w:t>
      </w:r>
      <w:r>
        <w:t xml:space="preserve">October 26, 2023</w:t>
      </w:r>
    </w:p>
    <w:p>
      <w:pPr>
        <w:pStyle w:val="BodyText"/>
      </w:pPr>
      <w:r>
        <w:t xml:space="preserve">This report was generated by the Digital Health Information System of Metropolitan Health Center. For queries regarding this</w:t>
      </w:r>
      <w:r>
        <w:t xml:space="preserve"> </w:t>
      </w:r>
      <w:r>
        <w:t xml:space="preserve">Lab Report</w:t>
      </w:r>
      <w:r>
        <w:t xml:space="preserve">, please contact the clinic directly.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Medical Lab Report: General Practitioner Assessment</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